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9427" w14:textId="3AF0252E" w:rsidR="00D91154" w:rsidRPr="009D4C1D" w:rsidRDefault="00D91154" w:rsidP="008D789C">
      <w:pPr>
        <w:jc w:val="both"/>
        <w:rPr>
          <w:rFonts w:ascii="Gotham Light" w:hAnsi="Gotham Light"/>
          <w:sz w:val="24"/>
          <w:szCs w:val="24"/>
        </w:rPr>
      </w:pPr>
    </w:p>
    <w:p w14:paraId="3C3DEED8" w14:textId="77777777" w:rsidR="00FF6258" w:rsidRPr="00044E6B" w:rsidRDefault="00FF6258" w:rsidP="00FF6258">
      <w:pPr>
        <w:spacing w:after="0" w:line="240" w:lineRule="auto"/>
        <w:jc w:val="center"/>
        <w:rPr>
          <w:rFonts w:ascii="Garamond" w:hAnsi="Garamond"/>
          <w:b/>
          <w:color w:val="0070C0"/>
          <w:sz w:val="40"/>
          <w:szCs w:val="40"/>
        </w:rPr>
      </w:pPr>
      <w:r w:rsidRPr="00044E6B">
        <w:rPr>
          <w:rFonts w:ascii="Garamond" w:hAnsi="Garamond"/>
          <w:b/>
          <w:color w:val="0070C0"/>
          <w:sz w:val="40"/>
          <w:szCs w:val="40"/>
        </w:rPr>
        <w:t>Modello di Organizzazione, Gestione e Controllo</w:t>
      </w:r>
    </w:p>
    <w:p w14:paraId="2F00992E" w14:textId="77777777" w:rsidR="00FF6258" w:rsidRPr="00044E6B" w:rsidRDefault="00FF6258" w:rsidP="00FF6258">
      <w:pPr>
        <w:spacing w:after="0" w:line="240" w:lineRule="auto"/>
        <w:jc w:val="center"/>
        <w:rPr>
          <w:rFonts w:ascii="Garamond" w:hAnsi="Garamond"/>
          <w:b/>
          <w:color w:val="0070C0"/>
        </w:rPr>
      </w:pPr>
      <w:r w:rsidRPr="00044E6B">
        <w:rPr>
          <w:rFonts w:ascii="Garamond" w:hAnsi="Garamond"/>
          <w:b/>
          <w:color w:val="0070C0"/>
        </w:rPr>
        <w:t>Ai sensi dell’art. 6, comma 1, lett. A) del D.Lgs. N. 231 dell’8 giugno 2001</w:t>
      </w:r>
    </w:p>
    <w:p w14:paraId="450142D7" w14:textId="77777777" w:rsidR="00FF6258" w:rsidRPr="00044E6B" w:rsidRDefault="00FF6258" w:rsidP="00FF6258">
      <w:pPr>
        <w:spacing w:after="0" w:line="240" w:lineRule="auto"/>
        <w:jc w:val="center"/>
        <w:rPr>
          <w:rFonts w:ascii="Garamond" w:hAnsi="Garamond"/>
          <w:b/>
          <w:color w:val="0070C0"/>
        </w:rPr>
      </w:pPr>
      <w:r w:rsidRPr="00044E6B">
        <w:rPr>
          <w:rFonts w:ascii="Garamond" w:hAnsi="Garamond"/>
          <w:b/>
          <w:color w:val="0070C0"/>
        </w:rPr>
        <w:t>Integrato ai sensi del par. 3.1.1. del Piano Nazionale Anticorruzione con la L. 190/2012 e Decreti Collegati</w:t>
      </w:r>
    </w:p>
    <w:p w14:paraId="5C6E16BC" w14:textId="77777777" w:rsidR="00FF6258" w:rsidRPr="00044E6B" w:rsidRDefault="00FF6258" w:rsidP="00FF6258">
      <w:pPr>
        <w:spacing w:after="0" w:line="240" w:lineRule="auto"/>
        <w:jc w:val="center"/>
        <w:rPr>
          <w:rFonts w:ascii="Garamond" w:hAnsi="Garamond"/>
          <w:b/>
          <w:color w:val="0070C0"/>
          <w:sz w:val="28"/>
          <w:szCs w:val="28"/>
        </w:rPr>
      </w:pPr>
      <w:r w:rsidRPr="00044E6B">
        <w:rPr>
          <w:rFonts w:ascii="Garamond" w:hAnsi="Garamond"/>
          <w:b/>
          <w:color w:val="0070C0"/>
          <w:sz w:val="28"/>
          <w:szCs w:val="28"/>
        </w:rPr>
        <w:t>Parte Speciale</w:t>
      </w:r>
    </w:p>
    <w:p w14:paraId="066B01F8" w14:textId="77777777" w:rsidR="00FF6258" w:rsidRPr="00044E6B" w:rsidRDefault="00FF6258" w:rsidP="00FF6258">
      <w:pPr>
        <w:spacing w:after="0" w:line="240" w:lineRule="auto"/>
        <w:jc w:val="center"/>
        <w:rPr>
          <w:rFonts w:ascii="Garamond" w:hAnsi="Garamond"/>
          <w:b/>
          <w:color w:val="0070C0"/>
          <w:sz w:val="40"/>
          <w:szCs w:val="40"/>
          <w:lang w:eastAsia="it-IT"/>
        </w:rPr>
      </w:pPr>
    </w:p>
    <w:p w14:paraId="52372823" w14:textId="77777777" w:rsidR="00FF6258" w:rsidRPr="00044E6B" w:rsidRDefault="00FF6258" w:rsidP="00FF6258">
      <w:pPr>
        <w:spacing w:after="0" w:line="240" w:lineRule="auto"/>
        <w:jc w:val="center"/>
        <w:rPr>
          <w:rFonts w:ascii="Garamond" w:hAnsi="Garamond"/>
          <w:b/>
          <w:color w:val="0070C0"/>
          <w:sz w:val="40"/>
          <w:szCs w:val="40"/>
          <w:lang w:eastAsia="it-IT"/>
        </w:rPr>
      </w:pPr>
    </w:p>
    <w:p w14:paraId="3FA4DCFB" w14:textId="77777777" w:rsidR="00FF6258" w:rsidRPr="00E145BC" w:rsidRDefault="00FF6258" w:rsidP="00FF6258">
      <w:pPr>
        <w:spacing w:after="0" w:line="240" w:lineRule="auto"/>
        <w:jc w:val="center"/>
        <w:rPr>
          <w:rFonts w:ascii="Garamond" w:eastAsia="Garamond" w:hAnsi="Garamond" w:cs="Garamond"/>
          <w:b/>
          <w:caps/>
          <w:color w:val="0070C0"/>
          <w:sz w:val="44"/>
          <w:szCs w:val="44"/>
          <w:lang w:val="it"/>
        </w:rPr>
      </w:pPr>
      <w:r w:rsidRPr="0070343F">
        <w:rPr>
          <w:rFonts w:ascii="Gotham Light" w:hAnsi="Gotham Light"/>
          <w:b/>
          <w:color w:val="0070C0"/>
          <w:sz w:val="44"/>
          <w:szCs w:val="44"/>
        </w:rPr>
        <w:t xml:space="preserve">MODELLO DI </w:t>
      </w:r>
      <w:r w:rsidRPr="00E145BC">
        <w:rPr>
          <w:rFonts w:ascii="Garamond" w:hAnsi="Garamond"/>
          <w:noProof/>
          <w:color w:val="0070C0"/>
          <w:sz w:val="24"/>
          <w:szCs w:val="24"/>
          <w:lang w:eastAsia="it-IT"/>
        </w:rPr>
        <mc:AlternateContent>
          <mc:Choice Requires="wps">
            <w:drawing>
              <wp:anchor distT="0" distB="0" distL="114300" distR="114300" simplePos="0" relativeHeight="251667456" behindDoc="0" locked="0" layoutInCell="1" allowOverlap="1" wp14:anchorId="32BE68B8" wp14:editId="4DC42506">
                <wp:simplePos x="0" y="0"/>
                <wp:positionH relativeFrom="margin">
                  <wp:posOffset>-139700</wp:posOffset>
                </wp:positionH>
                <wp:positionV relativeFrom="paragraph">
                  <wp:posOffset>7456682</wp:posOffset>
                </wp:positionV>
                <wp:extent cx="6096000" cy="8318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6096000" cy="83185"/>
                        </a:xfrm>
                        <a:prstGeom prst="rect">
                          <a:avLst/>
                        </a:prstGeom>
                        <a:solidFill>
                          <a:srgbClr val="28820D"/>
                        </a:solidFill>
                        <a:ln w="6350">
                          <a:noFill/>
                        </a:ln>
                      </wps:spPr>
                      <wps:txbx>
                        <w:txbxContent>
                          <w:p w14:paraId="18243228" w14:textId="77777777" w:rsidR="00FF6258" w:rsidRDefault="00FF6258" w:rsidP="00FF6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E68B8" id="_x0000_t202" coordsize="21600,21600" o:spt="202" path="m,l,21600r21600,l21600,xe">
                <v:stroke joinstyle="miter"/>
                <v:path gradientshapeok="t" o:connecttype="rect"/>
              </v:shapetype>
              <v:shape id="Casella di testo 3" o:spid="_x0000_s1026" type="#_x0000_t202" style="position:absolute;left:0;text-align:left;margin-left:-11pt;margin-top:587.15pt;width:480pt;height: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vKSAIAAIEEAAAOAAAAZHJzL2Uyb0RvYy54bWysVE1v2zAMvQ/YfxB0X+x8LjXiFFmCDAOK&#10;tkA69KzIcixAFjVJiZ39+lGyk2bdTsMuMiVST3yPpBf3ba3ISVgnQed0OEgpEZpDIfUhp99ftp/m&#10;lDjPdMEUaJHTs3D0fvnxw6IxmRhBBaoQliCIdlljclp5b7IkcbwSNXMDMEKjswRbM49be0gKyxpE&#10;r1UyStNZ0oAtjAUunMPTTeeky4hfloL7p7J0whOVU8zNx9XGdR/WZLlg2cEyU0nep8H+IYuaSY2P&#10;XqE2zDNytPIPqFpyCw5KP+BQJ1CWkovIAdkM03dsdhUzInJBcZy5yuT+Hyx/PD1bIoucjinRrMYS&#10;rZkTSjFSSOKF80DGQaXGuAyDdwbDffsFWqz25dzhYSDflrYOX6RF0I96n68ai9YTjoez9G6Wpuji&#10;6JuPh/NpQEneLhvr/FcBNQlGTi2WMCrLTg/Od6GXkPCWAyWLrVQqbuxhv1aWnBiWezSfj9JNj/5b&#10;mNKkwUzG0zQiawj3O2ilMZnAteMULN/u216APRRn5G+h6yNn+FZilg/M+WdmsXGQFw6Df8KlVICP&#10;QG9RUoH9+bfzEI/1RC8lDTZiTt2PI7OCEvVNY6XvhpNJ6Ny4mUw/j3Bjbz37W48+1mtA8kMcO8Oj&#10;GeK9upilhfoVZ2YVXkUX0xzfzqm/mGvfjQfOHBerVQzCXjXMP+id4QE6SB1q8NK+Mmv6Qnms8CNc&#10;WpZl7+rVxYabGlZHD6WMxQwCd6r2umOfx3boZzIM0u0+Rr39OZa/AAAA//8DAFBLAwQUAAYACAAA&#10;ACEA2X4vrOIAAAANAQAADwAAAGRycy9kb3ducmV2LnhtbEyPwU7DMBBE70j8g7VIXFDrNInaNMSp&#10;EBWHqr0QUM9u7CYR9jrEbhP+nu0Jjjszmn1TbCZr2FUPvnMoYDGPgGmsneqwEfD58TbLgPkgUUnj&#10;UAv40R425f1dIXPlRnzX1yo0jErQ51JAG0Kfc+7rVlvp567XSN7ZDVYGOoeGq0GOVG4Nj6Noya3s&#10;kD60stevra6/qosVcEy2e7M/P6XOjQfcbZd9hd87IR4fppdnYEFP4S8MN3xCh5KYTu6CyjMjYBbH&#10;tCWQsVilCTCKrJOMpNNNylYp8LLg/1eUvwAAAP//AwBQSwECLQAUAAYACAAAACEAtoM4kv4AAADh&#10;AQAAEwAAAAAAAAAAAAAAAAAAAAAAW0NvbnRlbnRfVHlwZXNdLnhtbFBLAQItABQABgAIAAAAIQA4&#10;/SH/1gAAAJQBAAALAAAAAAAAAAAAAAAAAC8BAABfcmVscy8ucmVsc1BLAQItABQABgAIAAAAIQDz&#10;8fvKSAIAAIEEAAAOAAAAAAAAAAAAAAAAAC4CAABkcnMvZTJvRG9jLnhtbFBLAQItABQABgAIAAAA&#10;IQDZfi+s4gAAAA0BAAAPAAAAAAAAAAAAAAAAAKIEAABkcnMvZG93bnJldi54bWxQSwUGAAAAAAQA&#10;BADzAAAAsQUAAAAA&#10;" fillcolor="#28820d" stroked="f" strokeweight=".5pt">
                <v:textbox>
                  <w:txbxContent>
                    <w:p w14:paraId="18243228" w14:textId="77777777" w:rsidR="00FF6258" w:rsidRDefault="00FF6258" w:rsidP="00FF6258"/>
                  </w:txbxContent>
                </v:textbox>
                <w10:wrap anchorx="margin"/>
              </v:shape>
            </w:pict>
          </mc:Fallback>
        </mc:AlternateContent>
      </w:r>
      <w:r w:rsidRPr="00E145BC">
        <w:rPr>
          <w:rFonts w:ascii="Garamond" w:eastAsia="Garamond" w:hAnsi="Garamond" w:cs="Garamond"/>
          <w:b/>
          <w:caps/>
          <w:color w:val="0070C0"/>
          <w:sz w:val="44"/>
          <w:szCs w:val="44"/>
          <w:lang w:val="it"/>
        </w:rPr>
        <w:t>Valutazione deI rischi AZIENDALI</w:t>
      </w:r>
    </w:p>
    <w:p w14:paraId="290BA487" w14:textId="2EE16674" w:rsidR="00FF6258" w:rsidRPr="00FF6258" w:rsidRDefault="00FF6258" w:rsidP="00FF6258">
      <w:pPr>
        <w:spacing w:after="0" w:line="240" w:lineRule="auto"/>
        <w:jc w:val="center"/>
        <w:rPr>
          <w:rFonts w:ascii="Gotham Light" w:hAnsi="Gotham Light"/>
          <w:b/>
          <w:color w:val="830D28"/>
          <w:sz w:val="44"/>
          <w:szCs w:val="44"/>
          <w:lang w:val="it"/>
        </w:rPr>
      </w:pPr>
    </w:p>
    <w:p w14:paraId="3EB39267" w14:textId="77777777" w:rsidR="00FF6258" w:rsidRPr="0070343F" w:rsidRDefault="00FF6258" w:rsidP="00FF6258">
      <w:pPr>
        <w:spacing w:after="0" w:line="240" w:lineRule="auto"/>
        <w:jc w:val="center"/>
        <w:rPr>
          <w:rFonts w:ascii="Gotham Light" w:hAnsi="Gotham Light"/>
          <w:b/>
          <w:color w:val="0070C0"/>
          <w:sz w:val="44"/>
          <w:szCs w:val="44"/>
        </w:rPr>
      </w:pPr>
      <w:r w:rsidRPr="0070343F">
        <w:rPr>
          <w:rFonts w:ascii="Gotham Light" w:hAnsi="Gotham Light"/>
          <w:b/>
          <w:color w:val="0070C0"/>
          <w:sz w:val="44"/>
          <w:szCs w:val="44"/>
        </w:rPr>
        <w:t>Allegato 9</w:t>
      </w:r>
      <w:r>
        <w:rPr>
          <w:rFonts w:ascii="Gotham Light" w:hAnsi="Gotham Light"/>
          <w:b/>
          <w:color w:val="0070C0"/>
          <w:sz w:val="44"/>
          <w:szCs w:val="44"/>
        </w:rPr>
        <w:t>BIS</w:t>
      </w:r>
    </w:p>
    <w:p w14:paraId="0A045E93" w14:textId="77777777" w:rsidR="00FF6258" w:rsidRPr="00044E6B" w:rsidRDefault="00FF6258" w:rsidP="00FF6258">
      <w:pPr>
        <w:spacing w:after="0" w:line="240" w:lineRule="auto"/>
        <w:jc w:val="center"/>
        <w:rPr>
          <w:rFonts w:ascii="Garamond" w:hAnsi="Garamond" w:cs="Times New Roman"/>
          <w:b/>
          <w:color w:val="0070C0"/>
        </w:rPr>
      </w:pPr>
    </w:p>
    <w:p w14:paraId="64ACE91E" w14:textId="77777777" w:rsidR="00FF6258" w:rsidRPr="00044E6B" w:rsidRDefault="00FF6258" w:rsidP="00FF6258">
      <w:pPr>
        <w:jc w:val="center"/>
        <w:rPr>
          <w:rFonts w:ascii="Garamond" w:hAnsi="Garamond" w:cs="Times New Roman"/>
          <w:b/>
          <w:color w:val="0070C0"/>
        </w:rPr>
      </w:pPr>
    </w:p>
    <w:p w14:paraId="58781B2F" w14:textId="77777777" w:rsidR="00FF6258" w:rsidRPr="00044E6B" w:rsidRDefault="00FF6258" w:rsidP="00FF6258">
      <w:pPr>
        <w:jc w:val="center"/>
        <w:rPr>
          <w:rFonts w:ascii="Garamond" w:hAnsi="Garamond" w:cs="Times New Roman"/>
          <w:b/>
          <w:color w:val="0070C0"/>
        </w:rPr>
      </w:pPr>
    </w:p>
    <w:p w14:paraId="12B7BA83" w14:textId="77777777" w:rsidR="00FF6258" w:rsidRPr="00044E6B" w:rsidRDefault="00FF6258" w:rsidP="00FF6258">
      <w:pPr>
        <w:jc w:val="center"/>
        <w:rPr>
          <w:rFonts w:ascii="Garamond" w:hAnsi="Garamond" w:cs="Times New Roman"/>
          <w:b/>
          <w:color w:val="0070C0"/>
        </w:rPr>
      </w:pPr>
    </w:p>
    <w:p w14:paraId="2D7ADE4D" w14:textId="77777777" w:rsidR="00FF6258" w:rsidRPr="00044E6B" w:rsidRDefault="00FF6258" w:rsidP="00FF6258">
      <w:pPr>
        <w:jc w:val="center"/>
        <w:rPr>
          <w:rFonts w:ascii="Garamond" w:hAnsi="Garamond" w:cs="Times New Roman"/>
          <w:b/>
          <w:color w:val="0070C0"/>
        </w:rPr>
      </w:pPr>
    </w:p>
    <w:p w14:paraId="5DAEF7FA" w14:textId="77777777" w:rsidR="00FF6258" w:rsidRPr="00044E6B" w:rsidRDefault="00FF6258" w:rsidP="00FF6258">
      <w:pPr>
        <w:jc w:val="center"/>
        <w:rPr>
          <w:rFonts w:ascii="Garamond" w:hAnsi="Garamond" w:cs="Times New Roman"/>
          <w:b/>
          <w:color w:val="0070C0"/>
        </w:rPr>
      </w:pPr>
    </w:p>
    <w:p w14:paraId="1C6C2104" w14:textId="77777777" w:rsidR="00FF6258" w:rsidRPr="00044E6B" w:rsidRDefault="00FF6258" w:rsidP="00FF6258">
      <w:pPr>
        <w:jc w:val="center"/>
        <w:rPr>
          <w:rFonts w:ascii="Garamond" w:hAnsi="Garamond" w:cs="Times New Roman"/>
          <w:b/>
          <w:color w:val="0070C0"/>
        </w:rPr>
      </w:pPr>
    </w:p>
    <w:p w14:paraId="7B3B5F35" w14:textId="77777777" w:rsidR="00FF6258" w:rsidRPr="00044E6B" w:rsidRDefault="00FF6258" w:rsidP="00FF6258">
      <w:pPr>
        <w:jc w:val="center"/>
        <w:rPr>
          <w:rFonts w:ascii="Garamond" w:hAnsi="Garamond" w:cs="Times New Roman"/>
          <w:b/>
          <w:color w:val="0070C0"/>
        </w:rPr>
      </w:pPr>
    </w:p>
    <w:p w14:paraId="2FC05C68" w14:textId="77777777" w:rsidR="00FF6258" w:rsidRPr="00044E6B" w:rsidRDefault="00FF6258" w:rsidP="00FF6258">
      <w:pPr>
        <w:jc w:val="center"/>
        <w:rPr>
          <w:rFonts w:ascii="Garamond" w:hAnsi="Garamond" w:cs="Times New Roman"/>
          <w:b/>
          <w:color w:val="0070C0"/>
        </w:rPr>
      </w:pPr>
    </w:p>
    <w:p w14:paraId="4FF05693" w14:textId="77777777" w:rsidR="00FF6258" w:rsidRPr="00556BAF" w:rsidRDefault="00FF6258" w:rsidP="00FF6258">
      <w:pPr>
        <w:rPr>
          <w:rFonts w:ascii="Gotham Light" w:hAnsi="Gotham Light"/>
          <w:color w:val="002044"/>
        </w:rPr>
      </w:pPr>
    </w:p>
    <w:p w14:paraId="56861FBA" w14:textId="77777777" w:rsidR="00FF6258" w:rsidRPr="00FF6258" w:rsidRDefault="00FF6258" w:rsidP="00FF6258">
      <w:pPr>
        <w:rPr>
          <w:rFonts w:ascii="Gotham Light" w:eastAsia="Garamond" w:hAnsi="Gotham Light" w:cs="Garamond"/>
          <w:b/>
          <w:caps/>
          <w:color w:val="830C28"/>
          <w:sz w:val="44"/>
          <w:szCs w:val="44"/>
        </w:rPr>
      </w:pPr>
    </w:p>
    <w:p w14:paraId="78CD2A46" w14:textId="77777777" w:rsidR="00FF6258" w:rsidRDefault="00FF6258" w:rsidP="008D789C">
      <w:pPr>
        <w:jc w:val="both"/>
        <w:rPr>
          <w:rStyle w:val="TitoloNormale"/>
          <w:rFonts w:ascii="Gotham Light" w:hAnsi="Gotham Light"/>
          <w:b/>
          <w:color w:val="002060"/>
          <w:sz w:val="28"/>
          <w:szCs w:val="28"/>
        </w:rPr>
      </w:pPr>
    </w:p>
    <w:p w14:paraId="71DBAA20" w14:textId="77777777" w:rsidR="00FF6258" w:rsidRDefault="00FF6258" w:rsidP="008D789C">
      <w:pPr>
        <w:jc w:val="both"/>
        <w:rPr>
          <w:rStyle w:val="TitoloNormale"/>
          <w:rFonts w:ascii="Gotham Light" w:hAnsi="Gotham Light"/>
          <w:b/>
          <w:color w:val="002060"/>
          <w:sz w:val="28"/>
          <w:szCs w:val="28"/>
        </w:rPr>
      </w:pPr>
    </w:p>
    <w:p w14:paraId="131A80A5" w14:textId="77777777" w:rsidR="00FF6258" w:rsidRDefault="00FF6258" w:rsidP="008D789C">
      <w:pPr>
        <w:jc w:val="both"/>
        <w:rPr>
          <w:rStyle w:val="TitoloNormale"/>
          <w:rFonts w:ascii="Gotham Light" w:hAnsi="Gotham Light"/>
          <w:b/>
          <w:color w:val="002060"/>
          <w:sz w:val="28"/>
          <w:szCs w:val="28"/>
        </w:rPr>
      </w:pPr>
    </w:p>
    <w:sdt>
      <w:sdtPr>
        <w:rPr>
          <w:rFonts w:ascii="Garamond" w:eastAsiaTheme="minorHAnsi" w:hAnsi="Garamond" w:cstheme="minorBidi"/>
          <w:b w:val="0"/>
          <w:bCs w:val="0"/>
          <w:color w:val="0070C0"/>
          <w:sz w:val="22"/>
          <w:szCs w:val="22"/>
          <w:lang w:eastAsia="en-US"/>
        </w:rPr>
        <w:id w:val="282768783"/>
        <w:docPartObj>
          <w:docPartGallery w:val="Table of Contents"/>
          <w:docPartUnique/>
        </w:docPartObj>
      </w:sdtPr>
      <w:sdtEndPr>
        <w:rPr>
          <w:rFonts w:asciiTheme="minorHAnsi" w:hAnsiTheme="minorHAnsi"/>
          <w:color w:val="auto"/>
        </w:rPr>
      </w:sdtEndPr>
      <w:sdtContent>
        <w:p w14:paraId="379CF361" w14:textId="1B5B5147" w:rsidR="00B7707D" w:rsidRPr="0027179C" w:rsidRDefault="00A36180" w:rsidP="0027179C">
          <w:pPr>
            <w:pStyle w:val="Titolosommario"/>
            <w:spacing w:before="0" w:line="240" w:lineRule="auto"/>
            <w:rPr>
              <w:rFonts w:ascii="Garamond" w:hAnsi="Garamond"/>
              <w:color w:val="0070C0"/>
            </w:rPr>
          </w:pPr>
          <w:r w:rsidRPr="0027179C">
            <w:rPr>
              <w:rFonts w:ascii="Garamond" w:hAnsi="Garamond"/>
              <w:color w:val="0070C0"/>
            </w:rPr>
            <w:t>Indice</w:t>
          </w:r>
        </w:p>
        <w:p w14:paraId="4459EBFB" w14:textId="61AA895C" w:rsidR="009B4EBE" w:rsidRPr="0027179C" w:rsidRDefault="00A36180"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r w:rsidRPr="0027179C">
            <w:rPr>
              <w:rStyle w:val="Collegamentoipertestuale"/>
              <w:rFonts w:ascii="Garamond" w:hAnsi="Garamond"/>
              <w:b/>
              <w:noProof/>
              <w:color w:val="0070C0"/>
              <w:sz w:val="24"/>
              <w:szCs w:val="24"/>
            </w:rPr>
            <w:fldChar w:fldCharType="begin"/>
          </w:r>
          <w:r w:rsidRPr="0027179C">
            <w:rPr>
              <w:rStyle w:val="Collegamentoipertestuale"/>
              <w:rFonts w:ascii="Garamond" w:hAnsi="Garamond"/>
              <w:b/>
              <w:noProof/>
              <w:color w:val="0070C0"/>
              <w:sz w:val="24"/>
              <w:szCs w:val="24"/>
            </w:rPr>
            <w:instrText xml:space="preserve"> TOC \o "1-3" \h \z \u </w:instrText>
          </w:r>
          <w:r w:rsidRPr="0027179C">
            <w:rPr>
              <w:rStyle w:val="Collegamentoipertestuale"/>
              <w:rFonts w:ascii="Garamond" w:hAnsi="Garamond"/>
              <w:b/>
              <w:noProof/>
              <w:color w:val="0070C0"/>
              <w:sz w:val="24"/>
              <w:szCs w:val="24"/>
            </w:rPr>
            <w:fldChar w:fldCharType="separate"/>
          </w:r>
          <w:hyperlink w:anchor="_Toc875880" w:history="1">
            <w:r w:rsidR="009B4EBE" w:rsidRPr="0027179C">
              <w:rPr>
                <w:rStyle w:val="Collegamentoipertestuale"/>
                <w:rFonts w:ascii="Garamond" w:hAnsi="Garamond"/>
                <w:b/>
                <w:noProof/>
                <w:color w:val="0070C0"/>
                <w:lang w:eastAsia="it-IT"/>
              </w:rPr>
              <w:t>1.</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Scopo e Campo di Applicazione</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_Toc875880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4</w:t>
            </w:r>
            <w:r w:rsidR="009B4EBE" w:rsidRPr="0027179C">
              <w:rPr>
                <w:rFonts w:ascii="Garamond" w:hAnsi="Garamond"/>
                <w:b/>
                <w:noProof/>
                <w:webHidden/>
                <w:color w:val="0070C0"/>
              </w:rPr>
              <w:fldChar w:fldCharType="end"/>
            </w:r>
          </w:hyperlink>
        </w:p>
        <w:p w14:paraId="48BED473" w14:textId="679DB466" w:rsidR="009B4EBE" w:rsidRPr="0027179C" w:rsidRDefault="009E7686"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hyperlink w:anchor="_Toc875881" w:history="1">
            <w:r w:rsidR="009B4EBE" w:rsidRPr="0027179C">
              <w:rPr>
                <w:rStyle w:val="Collegamentoipertestuale"/>
                <w:rFonts w:ascii="Garamond" w:hAnsi="Garamond"/>
                <w:b/>
                <w:noProof/>
                <w:color w:val="0070C0"/>
                <w:lang w:eastAsia="it-IT"/>
              </w:rPr>
              <w:t>2.</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Riferimenti Normativi</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_Toc875881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5</w:t>
            </w:r>
            <w:r w:rsidR="009B4EBE" w:rsidRPr="0027179C">
              <w:rPr>
                <w:rFonts w:ascii="Garamond" w:hAnsi="Garamond"/>
                <w:b/>
                <w:noProof/>
                <w:webHidden/>
                <w:color w:val="0070C0"/>
              </w:rPr>
              <w:fldChar w:fldCharType="end"/>
            </w:r>
          </w:hyperlink>
        </w:p>
        <w:p w14:paraId="5BE91891" w14:textId="079EA894" w:rsidR="009B4EBE" w:rsidRPr="0027179C" w:rsidRDefault="009E7686"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hyperlink w:anchor="_Toc875882" w:history="1">
            <w:r w:rsidR="009B4EBE" w:rsidRPr="0027179C">
              <w:rPr>
                <w:rStyle w:val="Collegamentoipertestuale"/>
                <w:rFonts w:ascii="Garamond" w:hAnsi="Garamond"/>
                <w:b/>
                <w:noProof/>
                <w:color w:val="0070C0"/>
                <w:lang w:eastAsia="it-IT"/>
              </w:rPr>
              <w:t>3.</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Terminologia e Definizioni</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_Toc875882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6</w:t>
            </w:r>
            <w:r w:rsidR="009B4EBE" w:rsidRPr="0027179C">
              <w:rPr>
                <w:rFonts w:ascii="Garamond" w:hAnsi="Garamond"/>
                <w:b/>
                <w:noProof/>
                <w:webHidden/>
                <w:color w:val="0070C0"/>
              </w:rPr>
              <w:fldChar w:fldCharType="end"/>
            </w:r>
          </w:hyperlink>
        </w:p>
        <w:p w14:paraId="186055E2" w14:textId="006BACB8" w:rsidR="009B4EBE" w:rsidRPr="0027179C" w:rsidRDefault="009E7686"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hyperlink w:anchor="_Toc875883" w:history="1">
            <w:r w:rsidR="009B4EBE" w:rsidRPr="0027179C">
              <w:rPr>
                <w:rStyle w:val="Collegamentoipertestuale"/>
                <w:rFonts w:ascii="Garamond" w:hAnsi="Garamond"/>
                <w:b/>
                <w:noProof/>
                <w:color w:val="0070C0"/>
                <w:lang w:eastAsia="it-IT"/>
              </w:rPr>
              <w:t>4.</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Generalità</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_Toc875883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8</w:t>
            </w:r>
            <w:r w:rsidR="009B4EBE" w:rsidRPr="0027179C">
              <w:rPr>
                <w:rFonts w:ascii="Garamond" w:hAnsi="Garamond"/>
                <w:b/>
                <w:noProof/>
                <w:webHidden/>
                <w:color w:val="0070C0"/>
              </w:rPr>
              <w:fldChar w:fldCharType="end"/>
            </w:r>
          </w:hyperlink>
        </w:p>
        <w:p w14:paraId="42CB8576" w14:textId="3F4188EE"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84" w:history="1">
            <w:r w:rsidR="009B4EBE" w:rsidRPr="0027179C">
              <w:rPr>
                <w:rStyle w:val="Collegamentoipertestuale"/>
                <w:rFonts w:ascii="Garamond" w:hAnsi="Garamond"/>
                <w:b/>
                <w:noProof/>
                <w:color w:val="0070C0"/>
                <w:lang w:eastAsia="it-IT"/>
              </w:rPr>
              <w:t>4.1 Risk-Based Thinking</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_Toc875884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8</w:t>
            </w:r>
            <w:r w:rsidR="009B4EBE" w:rsidRPr="0027179C">
              <w:rPr>
                <w:rFonts w:ascii="Garamond" w:hAnsi="Garamond"/>
                <w:b/>
                <w:noProof/>
                <w:webHidden/>
                <w:color w:val="0070C0"/>
              </w:rPr>
              <w:fldChar w:fldCharType="end"/>
            </w:r>
          </w:hyperlink>
        </w:p>
        <w:p w14:paraId="14CBC8DA" w14:textId="247B78A0"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85" w:history="1">
            <w:r w:rsidR="009B4EBE" w:rsidRPr="0027179C">
              <w:rPr>
                <w:rStyle w:val="Collegamentoipertestuale"/>
                <w:rFonts w:ascii="Garamond" w:hAnsi="Garamond"/>
                <w:b/>
                <w:noProof/>
                <w:color w:val="0070C0"/>
                <w:lang w:eastAsia="it-IT"/>
              </w:rPr>
              <w:t>4.2 Principi generali della valutazione dei rischi</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_Toc875885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8</w:t>
            </w:r>
            <w:r w:rsidR="009B4EBE" w:rsidRPr="0027179C">
              <w:rPr>
                <w:rFonts w:ascii="Garamond" w:hAnsi="Garamond"/>
                <w:b/>
                <w:noProof/>
                <w:webHidden/>
                <w:color w:val="0070C0"/>
              </w:rPr>
              <w:fldChar w:fldCharType="end"/>
            </w:r>
          </w:hyperlink>
        </w:p>
        <w:p w14:paraId="68E50386" w14:textId="4C28C2AB" w:rsidR="009B4EBE" w:rsidRPr="0027179C" w:rsidRDefault="009E7686"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hyperlink w:anchor="_Toc875886" w:history="1">
            <w:r w:rsidR="009B4EBE" w:rsidRPr="0027179C">
              <w:rPr>
                <w:rStyle w:val="Collegamentoipertestuale"/>
                <w:rFonts w:ascii="Garamond" w:hAnsi="Garamond"/>
                <w:b/>
                <w:noProof/>
                <w:color w:val="0070C0"/>
                <w:lang w:eastAsia="it-IT"/>
              </w:rPr>
              <w:t>5.</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Criteri di valutazione</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_Toc875886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10</w:t>
            </w:r>
            <w:r w:rsidR="009B4EBE" w:rsidRPr="0027179C">
              <w:rPr>
                <w:rFonts w:ascii="Garamond" w:hAnsi="Garamond"/>
                <w:b/>
                <w:noProof/>
                <w:webHidden/>
                <w:color w:val="0070C0"/>
              </w:rPr>
              <w:fldChar w:fldCharType="end"/>
            </w:r>
          </w:hyperlink>
        </w:p>
        <w:p w14:paraId="34C50B97" w14:textId="29FB2AC2"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87" w:history="1">
            <w:r w:rsidR="009B4EBE" w:rsidRPr="0027179C">
              <w:rPr>
                <w:rStyle w:val="Collegamentoipertestuale"/>
                <w:rFonts w:ascii="Garamond" w:hAnsi="Garamond"/>
                <w:b/>
                <w:noProof/>
                <w:color w:val="0070C0"/>
                <w:lang w:eastAsia="it-IT"/>
              </w:rPr>
              <w:t>5.1 Valutazione dell’indice di rischio (R)</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_Toc875887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11</w:t>
            </w:r>
            <w:r w:rsidR="009B4EBE" w:rsidRPr="0027179C">
              <w:rPr>
                <w:rFonts w:ascii="Garamond" w:hAnsi="Garamond"/>
                <w:b/>
                <w:noProof/>
                <w:webHidden/>
                <w:color w:val="0070C0"/>
              </w:rPr>
              <w:fldChar w:fldCharType="end"/>
            </w:r>
          </w:hyperlink>
        </w:p>
        <w:p w14:paraId="065A6684" w14:textId="302A1EC7"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88" w:history="1">
            <w:r w:rsidR="009B4EBE" w:rsidRPr="0027179C">
              <w:rPr>
                <w:rStyle w:val="Collegamentoipertestuale"/>
                <w:rFonts w:ascii="Garamond" w:hAnsi="Garamond"/>
                <w:b/>
                <w:noProof/>
                <w:color w:val="0070C0"/>
                <w:lang w:eastAsia="it-IT"/>
              </w:rPr>
              <w:t>5.2 Valutazione delle probabilità (P)</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_Toc875888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12</w:t>
            </w:r>
            <w:r w:rsidR="009B4EBE" w:rsidRPr="0027179C">
              <w:rPr>
                <w:rFonts w:ascii="Garamond" w:hAnsi="Garamond"/>
                <w:b/>
                <w:noProof/>
                <w:webHidden/>
                <w:color w:val="0070C0"/>
              </w:rPr>
              <w:fldChar w:fldCharType="end"/>
            </w:r>
          </w:hyperlink>
        </w:p>
        <w:p w14:paraId="551B9471" w14:textId="41541121"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89" w:history="1">
            <w:r w:rsidR="009B4EBE" w:rsidRPr="0027179C">
              <w:rPr>
                <w:rStyle w:val="Collegamentoipertestuale"/>
                <w:rFonts w:ascii="Garamond" w:hAnsi="Garamond"/>
                <w:b/>
                <w:noProof/>
                <w:color w:val="0070C0"/>
                <w:lang w:eastAsia="it-IT"/>
              </w:rPr>
              <w:t>5.3 Valutazione dell’impatto (I)</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_Toc875889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13</w:t>
            </w:r>
            <w:r w:rsidR="009B4EBE" w:rsidRPr="0027179C">
              <w:rPr>
                <w:rFonts w:ascii="Garamond" w:hAnsi="Garamond"/>
                <w:b/>
                <w:noProof/>
                <w:webHidden/>
                <w:color w:val="0070C0"/>
              </w:rPr>
              <w:fldChar w:fldCharType="end"/>
            </w:r>
          </w:hyperlink>
        </w:p>
        <w:p w14:paraId="1E1A9FA0" w14:textId="34B56A08" w:rsidR="009B4EBE" w:rsidRPr="0027179C" w:rsidRDefault="009E7686"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hyperlink w:anchor="_Toc875890" w:history="1">
            <w:r w:rsidR="009B4EBE" w:rsidRPr="0027179C">
              <w:rPr>
                <w:rStyle w:val="Collegamentoipertestuale"/>
                <w:rFonts w:ascii="Garamond" w:hAnsi="Garamond"/>
                <w:b/>
                <w:noProof/>
                <w:color w:val="0070C0"/>
                <w:lang w:eastAsia="it-IT"/>
              </w:rPr>
              <w:t>6.</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Modalità operative</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_Toc875890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14</w:t>
            </w:r>
            <w:r w:rsidR="009B4EBE" w:rsidRPr="0027179C">
              <w:rPr>
                <w:rFonts w:ascii="Garamond" w:hAnsi="Garamond"/>
                <w:b/>
                <w:noProof/>
                <w:webHidden/>
                <w:color w:val="0070C0"/>
              </w:rPr>
              <w:fldChar w:fldCharType="end"/>
            </w:r>
          </w:hyperlink>
        </w:p>
        <w:p w14:paraId="7E6A782A" w14:textId="466AB625"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91" w:history="1">
            <w:r w:rsidR="009B4EBE" w:rsidRPr="0027179C">
              <w:rPr>
                <w:rStyle w:val="Collegamentoipertestuale"/>
                <w:rFonts w:ascii="Garamond" w:hAnsi="Garamond"/>
                <w:b/>
                <w:noProof/>
                <w:color w:val="0070C0"/>
                <w:lang w:eastAsia="it-IT"/>
              </w:rPr>
              <w:t>6.1 Comunicazione e consultazione</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_Toc875891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14</w:t>
            </w:r>
            <w:r w:rsidR="009B4EBE" w:rsidRPr="0027179C">
              <w:rPr>
                <w:rFonts w:ascii="Garamond" w:hAnsi="Garamond"/>
                <w:b/>
                <w:noProof/>
                <w:webHidden/>
                <w:color w:val="0070C0"/>
              </w:rPr>
              <w:fldChar w:fldCharType="end"/>
            </w:r>
          </w:hyperlink>
        </w:p>
        <w:p w14:paraId="5590E88E" w14:textId="209090A7"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92" w:history="1">
            <w:r w:rsidR="009B4EBE" w:rsidRPr="0027179C">
              <w:rPr>
                <w:rStyle w:val="Collegamentoipertestuale"/>
                <w:rFonts w:ascii="Garamond" w:hAnsi="Garamond"/>
                <w:b/>
                <w:noProof/>
                <w:color w:val="0070C0"/>
                <w:lang w:eastAsia="it-IT"/>
              </w:rPr>
              <w:t>6.2 Definizione del contesto</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_Toc875892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14</w:t>
            </w:r>
            <w:r w:rsidR="009B4EBE" w:rsidRPr="0027179C">
              <w:rPr>
                <w:rFonts w:ascii="Garamond" w:hAnsi="Garamond"/>
                <w:b/>
                <w:noProof/>
                <w:webHidden/>
                <w:color w:val="0070C0"/>
              </w:rPr>
              <w:fldChar w:fldCharType="end"/>
            </w:r>
          </w:hyperlink>
        </w:p>
        <w:p w14:paraId="33366ED2" w14:textId="18C145A2"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93" w:history="1">
            <w:r w:rsidR="009B4EBE" w:rsidRPr="0027179C">
              <w:rPr>
                <w:rStyle w:val="Collegamentoipertestuale"/>
                <w:rFonts w:ascii="Garamond" w:hAnsi="Garamond"/>
                <w:b/>
                <w:noProof/>
                <w:color w:val="0070C0"/>
                <w:lang w:eastAsia="it-IT"/>
              </w:rPr>
              <w:t>6.3 Valutazione del rischio</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_Toc875893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15</w:t>
            </w:r>
            <w:r w:rsidR="009B4EBE" w:rsidRPr="0027179C">
              <w:rPr>
                <w:rFonts w:ascii="Garamond" w:hAnsi="Garamond"/>
                <w:b/>
                <w:noProof/>
                <w:webHidden/>
                <w:color w:val="0070C0"/>
              </w:rPr>
              <w:fldChar w:fldCharType="end"/>
            </w:r>
          </w:hyperlink>
        </w:p>
        <w:p w14:paraId="4A4642F5" w14:textId="7DAC292B"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94" w:history="1">
            <w:r w:rsidR="009B4EBE" w:rsidRPr="0027179C">
              <w:rPr>
                <w:rStyle w:val="Collegamentoipertestuale"/>
                <w:rFonts w:ascii="Garamond" w:hAnsi="Garamond"/>
                <w:b/>
                <w:noProof/>
                <w:color w:val="0070C0"/>
                <w:lang w:eastAsia="it-IT"/>
              </w:rPr>
              <w:t>6.4 Trattamento del rischio</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_Toc875894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16</w:t>
            </w:r>
            <w:r w:rsidR="009B4EBE" w:rsidRPr="0027179C">
              <w:rPr>
                <w:rFonts w:ascii="Garamond" w:hAnsi="Garamond"/>
                <w:b/>
                <w:noProof/>
                <w:webHidden/>
                <w:color w:val="0070C0"/>
              </w:rPr>
              <w:fldChar w:fldCharType="end"/>
            </w:r>
          </w:hyperlink>
        </w:p>
        <w:p w14:paraId="04839496" w14:textId="7FC88F88" w:rsidR="009B4EBE" w:rsidRPr="0027179C" w:rsidRDefault="009E7686" w:rsidP="0027179C">
          <w:pPr>
            <w:pStyle w:val="Sommario2"/>
            <w:tabs>
              <w:tab w:val="right" w:leader="dot" w:pos="9140"/>
            </w:tabs>
            <w:spacing w:after="0" w:line="240" w:lineRule="auto"/>
            <w:rPr>
              <w:rFonts w:ascii="Garamond" w:eastAsiaTheme="minorEastAsia" w:hAnsi="Garamond"/>
              <w:b/>
              <w:noProof/>
              <w:color w:val="0070C0"/>
              <w:lang w:eastAsia="it-IT"/>
            </w:rPr>
          </w:pPr>
          <w:hyperlink w:anchor="_Toc875895" w:history="1">
            <w:r w:rsidR="009B4EBE" w:rsidRPr="0027179C">
              <w:rPr>
                <w:rStyle w:val="Collegamentoipertestuale"/>
                <w:rFonts w:ascii="Garamond" w:hAnsi="Garamond"/>
                <w:b/>
                <w:noProof/>
                <w:color w:val="0070C0"/>
                <w:lang w:eastAsia="it-IT"/>
              </w:rPr>
              <w:t>6.5 Trattamento del rischio</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_Toc875895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17</w:t>
            </w:r>
            <w:r w:rsidR="009B4EBE" w:rsidRPr="0027179C">
              <w:rPr>
                <w:rFonts w:ascii="Garamond" w:hAnsi="Garamond"/>
                <w:b/>
                <w:noProof/>
                <w:webHidden/>
                <w:color w:val="0070C0"/>
              </w:rPr>
              <w:fldChar w:fldCharType="end"/>
            </w:r>
          </w:hyperlink>
        </w:p>
        <w:p w14:paraId="46E80154" w14:textId="6F2420E5" w:rsidR="009B4EBE" w:rsidRPr="0027179C" w:rsidRDefault="009E7686" w:rsidP="0027179C">
          <w:pPr>
            <w:pStyle w:val="Sommario1"/>
            <w:tabs>
              <w:tab w:val="left" w:pos="440"/>
              <w:tab w:val="right" w:leader="dot" w:pos="9140"/>
            </w:tabs>
            <w:spacing w:after="0" w:line="240" w:lineRule="auto"/>
            <w:rPr>
              <w:rFonts w:ascii="Garamond" w:eastAsiaTheme="minorEastAsia" w:hAnsi="Garamond"/>
              <w:b/>
              <w:noProof/>
              <w:color w:val="0070C0"/>
              <w:lang w:eastAsia="it-IT"/>
            </w:rPr>
          </w:pPr>
          <w:hyperlink w:anchor="_Toc875896" w:history="1">
            <w:r w:rsidR="009B4EBE" w:rsidRPr="0027179C">
              <w:rPr>
                <w:rStyle w:val="Collegamentoipertestuale"/>
                <w:rFonts w:ascii="Garamond" w:hAnsi="Garamond"/>
                <w:b/>
                <w:noProof/>
                <w:color w:val="0070C0"/>
                <w:lang w:eastAsia="it-IT"/>
              </w:rPr>
              <w:t>7.</w:t>
            </w:r>
            <w:r w:rsidR="009B4EBE" w:rsidRPr="0027179C">
              <w:rPr>
                <w:rFonts w:ascii="Garamond" w:eastAsiaTheme="minorEastAsia" w:hAnsi="Garamond"/>
                <w:b/>
                <w:noProof/>
                <w:color w:val="0070C0"/>
                <w:lang w:eastAsia="it-IT"/>
              </w:rPr>
              <w:tab/>
            </w:r>
            <w:r w:rsidR="009B4EBE" w:rsidRPr="0027179C">
              <w:rPr>
                <w:rStyle w:val="Collegamentoipertestuale"/>
                <w:rFonts w:ascii="Garamond" w:hAnsi="Garamond"/>
                <w:b/>
                <w:noProof/>
                <w:color w:val="0070C0"/>
                <w:lang w:eastAsia="it-IT"/>
              </w:rPr>
              <w:t>Responsabilità</w:t>
            </w:r>
            <w:r w:rsidR="009B4EBE" w:rsidRPr="0027179C">
              <w:rPr>
                <w:rFonts w:ascii="Garamond" w:hAnsi="Garamond"/>
                <w:b/>
                <w:noProof/>
                <w:webHidden/>
                <w:color w:val="0070C0"/>
              </w:rPr>
              <w:tab/>
            </w:r>
            <w:r w:rsidR="009B4EBE" w:rsidRPr="0027179C">
              <w:rPr>
                <w:rFonts w:ascii="Garamond" w:hAnsi="Garamond"/>
                <w:b/>
                <w:noProof/>
                <w:webHidden/>
                <w:color w:val="0070C0"/>
              </w:rPr>
              <w:fldChar w:fldCharType="begin"/>
            </w:r>
            <w:r w:rsidR="009B4EBE" w:rsidRPr="0027179C">
              <w:rPr>
                <w:rFonts w:ascii="Garamond" w:hAnsi="Garamond"/>
                <w:b/>
                <w:noProof/>
                <w:webHidden/>
                <w:color w:val="0070C0"/>
              </w:rPr>
              <w:instrText xml:space="preserve"> PAGEREF _Toc875896 \h </w:instrText>
            </w:r>
            <w:r w:rsidR="009B4EBE" w:rsidRPr="0027179C">
              <w:rPr>
                <w:rFonts w:ascii="Garamond" w:hAnsi="Garamond"/>
                <w:b/>
                <w:noProof/>
                <w:webHidden/>
                <w:color w:val="0070C0"/>
              </w:rPr>
            </w:r>
            <w:r w:rsidR="009B4EBE" w:rsidRPr="0027179C">
              <w:rPr>
                <w:rFonts w:ascii="Garamond" w:hAnsi="Garamond"/>
                <w:b/>
                <w:noProof/>
                <w:webHidden/>
                <w:color w:val="0070C0"/>
              </w:rPr>
              <w:fldChar w:fldCharType="separate"/>
            </w:r>
            <w:r w:rsidR="009B4EBE" w:rsidRPr="0027179C">
              <w:rPr>
                <w:rFonts w:ascii="Garamond" w:hAnsi="Garamond"/>
                <w:b/>
                <w:noProof/>
                <w:webHidden/>
                <w:color w:val="0070C0"/>
              </w:rPr>
              <w:t>17</w:t>
            </w:r>
            <w:r w:rsidR="009B4EBE" w:rsidRPr="0027179C">
              <w:rPr>
                <w:rFonts w:ascii="Garamond" w:hAnsi="Garamond"/>
                <w:b/>
                <w:noProof/>
                <w:webHidden/>
                <w:color w:val="0070C0"/>
              </w:rPr>
              <w:fldChar w:fldCharType="end"/>
            </w:r>
          </w:hyperlink>
        </w:p>
        <w:p w14:paraId="1C196A4E" w14:textId="437A429A" w:rsidR="00A36180" w:rsidRDefault="00A36180" w:rsidP="0027179C">
          <w:pPr>
            <w:pStyle w:val="Sommario1"/>
            <w:tabs>
              <w:tab w:val="left" w:pos="440"/>
              <w:tab w:val="right" w:leader="dot" w:pos="9140"/>
            </w:tabs>
            <w:spacing w:after="0" w:line="240" w:lineRule="auto"/>
          </w:pPr>
          <w:r w:rsidRPr="0027179C">
            <w:rPr>
              <w:rStyle w:val="Collegamentoipertestuale"/>
              <w:rFonts w:ascii="Garamond" w:hAnsi="Garamond"/>
              <w:b/>
              <w:noProof/>
              <w:color w:val="0070C0"/>
              <w:sz w:val="24"/>
              <w:szCs w:val="24"/>
            </w:rPr>
            <w:fldChar w:fldCharType="end"/>
          </w:r>
        </w:p>
      </w:sdtContent>
    </w:sdt>
    <w:p w14:paraId="6D275D68" w14:textId="77777777" w:rsidR="00A36180" w:rsidRDefault="00A36180">
      <w:r>
        <w:br w:type="page"/>
      </w:r>
    </w:p>
    <w:p w14:paraId="575E20A3" w14:textId="77777777" w:rsidR="00401214" w:rsidRPr="009F1DAA" w:rsidRDefault="00E41F63" w:rsidP="009F1DAA">
      <w:pPr>
        <w:pStyle w:val="Titolo1"/>
        <w:numPr>
          <w:ilvl w:val="0"/>
          <w:numId w:val="1"/>
        </w:numPr>
        <w:spacing w:before="120" w:after="120" w:line="240" w:lineRule="auto"/>
        <w:ind w:left="0" w:firstLine="0"/>
        <w:rPr>
          <w:rFonts w:ascii="Garamond" w:hAnsi="Garamond"/>
          <w:bCs w:val="0"/>
          <w:color w:val="00B0F0"/>
          <w:sz w:val="22"/>
          <w:szCs w:val="22"/>
          <w:lang w:eastAsia="it-IT"/>
        </w:rPr>
      </w:pPr>
      <w:bookmarkStart w:id="0" w:name="_Toc519585645"/>
      <w:bookmarkStart w:id="1" w:name="_Toc875880"/>
      <w:r w:rsidRPr="009F1DAA">
        <w:rPr>
          <w:rFonts w:ascii="Garamond" w:hAnsi="Garamond"/>
          <w:bCs w:val="0"/>
          <w:color w:val="00B0F0"/>
          <w:sz w:val="22"/>
          <w:szCs w:val="22"/>
          <w:lang w:eastAsia="it-IT"/>
        </w:rPr>
        <w:lastRenderedPageBreak/>
        <w:t>Scopo e Campo di Applicazione</w:t>
      </w:r>
      <w:bookmarkEnd w:id="0"/>
      <w:bookmarkEnd w:id="1"/>
    </w:p>
    <w:p w14:paraId="65B96349" w14:textId="79E1287E" w:rsidR="00E2700E" w:rsidRPr="007A29C7" w:rsidRDefault="00E2700E" w:rsidP="007A29C7">
      <w:pPr>
        <w:widowControl w:val="0"/>
        <w:spacing w:after="0" w:line="240" w:lineRule="auto"/>
        <w:jc w:val="both"/>
        <w:rPr>
          <w:rFonts w:ascii="Garamond" w:hAnsi="Garamond"/>
          <w:sz w:val="20"/>
          <w:szCs w:val="20"/>
        </w:rPr>
      </w:pPr>
      <w:r w:rsidRPr="007A29C7">
        <w:rPr>
          <w:rFonts w:ascii="Garamond" w:hAnsi="Garamond"/>
          <w:sz w:val="20"/>
          <w:szCs w:val="20"/>
        </w:rPr>
        <w:t xml:space="preserve">La presente procedura disciplina le modalità con cui </w:t>
      </w:r>
      <w:r w:rsidR="00017FD6">
        <w:rPr>
          <w:rFonts w:ascii="Garamond" w:hAnsi="Garamond"/>
          <w:b/>
        </w:rPr>
        <w:t>ASP</w:t>
      </w:r>
      <w:r w:rsidRPr="007A29C7">
        <w:rPr>
          <w:rFonts w:ascii="Garamond" w:hAnsi="Garamond"/>
          <w:sz w:val="20"/>
          <w:szCs w:val="20"/>
        </w:rPr>
        <w:t xml:space="preserve">, effettua l’individuazione, la valutazione e la ponderazione del rischio. </w:t>
      </w:r>
    </w:p>
    <w:p w14:paraId="1422CBED" w14:textId="77777777" w:rsidR="00E2700E" w:rsidRPr="007A29C7" w:rsidRDefault="00E2700E" w:rsidP="007A29C7">
      <w:pPr>
        <w:widowControl w:val="0"/>
        <w:spacing w:after="0" w:line="240" w:lineRule="auto"/>
        <w:jc w:val="both"/>
        <w:rPr>
          <w:rFonts w:ascii="Garamond" w:hAnsi="Garamond"/>
          <w:sz w:val="20"/>
          <w:szCs w:val="20"/>
        </w:rPr>
      </w:pPr>
      <w:r w:rsidRPr="007A29C7">
        <w:rPr>
          <w:rFonts w:ascii="Garamond" w:hAnsi="Garamond"/>
          <w:sz w:val="20"/>
          <w:szCs w:val="20"/>
        </w:rPr>
        <w:t>In particolare verranno illustrate le procedure mediante le quali la Società individua i rischi connessi con i propri processi, li contestualizza, ne valuta la rilevanza anche in relazione alle misure di mitigazione già presenti.</w:t>
      </w:r>
    </w:p>
    <w:p w14:paraId="15F605DD" w14:textId="77777777" w:rsidR="00E2700E" w:rsidRPr="007A29C7" w:rsidRDefault="00E2700E" w:rsidP="007A29C7">
      <w:pPr>
        <w:widowControl w:val="0"/>
        <w:spacing w:after="0" w:line="240" w:lineRule="auto"/>
        <w:jc w:val="both"/>
        <w:rPr>
          <w:rFonts w:ascii="Garamond" w:hAnsi="Garamond"/>
          <w:sz w:val="20"/>
          <w:szCs w:val="20"/>
        </w:rPr>
      </w:pPr>
      <w:r w:rsidRPr="007A29C7">
        <w:rPr>
          <w:rFonts w:ascii="Garamond" w:hAnsi="Garamond"/>
          <w:sz w:val="20"/>
          <w:szCs w:val="20"/>
        </w:rPr>
        <w:t>La valutazione del rischio aiuta a dare risposte ai seguenti quesiti fondamentali:</w:t>
      </w:r>
    </w:p>
    <w:p w14:paraId="5A59051D" w14:textId="51565DCB" w:rsidR="007A29C7" w:rsidRPr="007A29C7" w:rsidRDefault="007A29C7" w:rsidP="007A29C7">
      <w:pPr>
        <w:widowControl w:val="0"/>
        <w:spacing w:after="0" w:line="240" w:lineRule="auto"/>
        <w:jc w:val="both"/>
        <w:rPr>
          <w:rFonts w:ascii="Garamond" w:hAnsi="Garamond"/>
          <w:i/>
          <w:sz w:val="20"/>
          <w:szCs w:val="20"/>
        </w:rPr>
      </w:pPr>
      <w:r w:rsidRPr="007A29C7">
        <w:rPr>
          <w:rFonts w:ascii="Garamond" w:hAnsi="Garamond"/>
          <w:sz w:val="20"/>
          <w:szCs w:val="20"/>
        </w:rPr>
        <w:t>-</w:t>
      </w:r>
      <w:r>
        <w:rPr>
          <w:rFonts w:ascii="Garamond" w:hAnsi="Garamond"/>
          <w:sz w:val="20"/>
          <w:szCs w:val="20"/>
        </w:rPr>
        <w:t xml:space="preserve"> </w:t>
      </w:r>
      <w:r w:rsidRPr="007A29C7">
        <w:rPr>
          <w:rFonts w:ascii="Garamond" w:hAnsi="Garamond"/>
          <w:i/>
          <w:sz w:val="20"/>
          <w:szCs w:val="20"/>
        </w:rPr>
        <w:t xml:space="preserve">che cosa può accadere e perché? </w:t>
      </w:r>
      <w:r w:rsidR="00E2700E" w:rsidRPr="007A29C7">
        <w:rPr>
          <w:rFonts w:ascii="Garamond" w:hAnsi="Garamond"/>
          <w:i/>
          <w:sz w:val="20"/>
          <w:szCs w:val="20"/>
        </w:rPr>
        <w:t>(attraverso l’identificazione del rischio)</w:t>
      </w:r>
      <w:r w:rsidRPr="007A29C7">
        <w:rPr>
          <w:rFonts w:ascii="Garamond" w:hAnsi="Garamond"/>
          <w:i/>
          <w:sz w:val="20"/>
          <w:szCs w:val="20"/>
        </w:rPr>
        <w:t>;</w:t>
      </w:r>
    </w:p>
    <w:p w14:paraId="0A0CDA94" w14:textId="6815C7B9" w:rsidR="007A29C7" w:rsidRPr="007A29C7" w:rsidRDefault="007A29C7" w:rsidP="007A29C7">
      <w:pPr>
        <w:widowControl w:val="0"/>
        <w:spacing w:after="0" w:line="240" w:lineRule="auto"/>
        <w:jc w:val="both"/>
        <w:rPr>
          <w:rFonts w:ascii="Garamond" w:hAnsi="Garamond"/>
          <w:i/>
          <w:sz w:val="20"/>
          <w:szCs w:val="20"/>
        </w:rPr>
      </w:pPr>
      <w:r w:rsidRPr="007A29C7">
        <w:rPr>
          <w:rFonts w:ascii="Garamond" w:hAnsi="Garamond"/>
          <w:i/>
          <w:sz w:val="20"/>
          <w:szCs w:val="20"/>
        </w:rPr>
        <w:t xml:space="preserve">- quali potrebbero essere le </w:t>
      </w:r>
      <w:r w:rsidR="00E2700E" w:rsidRPr="007A29C7">
        <w:rPr>
          <w:rFonts w:ascii="Garamond" w:hAnsi="Garamond"/>
          <w:i/>
          <w:sz w:val="20"/>
          <w:szCs w:val="20"/>
        </w:rPr>
        <w:t>conseguenze?</w:t>
      </w:r>
      <w:r w:rsidRPr="007A29C7">
        <w:rPr>
          <w:rFonts w:ascii="Garamond" w:hAnsi="Garamond"/>
          <w:i/>
          <w:sz w:val="20"/>
          <w:szCs w:val="20"/>
        </w:rPr>
        <w:t>;</w:t>
      </w:r>
    </w:p>
    <w:p w14:paraId="56F446E4" w14:textId="269BF56D" w:rsidR="007A29C7" w:rsidRPr="007A29C7" w:rsidRDefault="007A29C7" w:rsidP="007A29C7">
      <w:pPr>
        <w:widowControl w:val="0"/>
        <w:spacing w:after="0" w:line="240" w:lineRule="auto"/>
        <w:jc w:val="both"/>
        <w:rPr>
          <w:rFonts w:ascii="Garamond" w:hAnsi="Garamond"/>
          <w:i/>
          <w:sz w:val="20"/>
          <w:szCs w:val="20"/>
        </w:rPr>
      </w:pPr>
      <w:r w:rsidRPr="007A29C7">
        <w:rPr>
          <w:rFonts w:ascii="Garamond" w:hAnsi="Garamond"/>
          <w:i/>
          <w:sz w:val="20"/>
          <w:szCs w:val="20"/>
        </w:rPr>
        <w:t xml:space="preserve">- </w:t>
      </w:r>
      <w:r w:rsidR="00E2700E" w:rsidRPr="007A29C7">
        <w:rPr>
          <w:rFonts w:ascii="Garamond" w:hAnsi="Garamond"/>
          <w:i/>
          <w:sz w:val="20"/>
          <w:szCs w:val="20"/>
        </w:rPr>
        <w:t>quali le probabilità del loro accadimento futuro?</w:t>
      </w:r>
      <w:r w:rsidRPr="007A29C7">
        <w:rPr>
          <w:rFonts w:ascii="Garamond" w:hAnsi="Garamond"/>
          <w:i/>
          <w:sz w:val="20"/>
          <w:szCs w:val="20"/>
        </w:rPr>
        <w:t>;</w:t>
      </w:r>
    </w:p>
    <w:p w14:paraId="306360FC" w14:textId="48231BAE" w:rsidR="00E2700E" w:rsidRPr="007A29C7" w:rsidRDefault="007A29C7" w:rsidP="007A29C7">
      <w:pPr>
        <w:widowControl w:val="0"/>
        <w:spacing w:after="0" w:line="240" w:lineRule="auto"/>
        <w:jc w:val="both"/>
        <w:rPr>
          <w:rFonts w:ascii="Garamond" w:hAnsi="Garamond"/>
          <w:i/>
          <w:sz w:val="20"/>
          <w:szCs w:val="20"/>
        </w:rPr>
      </w:pPr>
      <w:r w:rsidRPr="007A29C7">
        <w:rPr>
          <w:rFonts w:ascii="Garamond" w:hAnsi="Garamond"/>
          <w:i/>
          <w:sz w:val="20"/>
          <w:szCs w:val="20"/>
        </w:rPr>
        <w:t xml:space="preserve">- </w:t>
      </w:r>
      <w:r w:rsidR="00E2700E" w:rsidRPr="007A29C7">
        <w:rPr>
          <w:rFonts w:ascii="Garamond" w:hAnsi="Garamond"/>
          <w:i/>
          <w:sz w:val="20"/>
          <w:szCs w:val="20"/>
        </w:rPr>
        <w:t>ci sono dei fattori che possono mitigare le conseguenze del rischio o che possono</w:t>
      </w:r>
      <w:r w:rsidRPr="007A29C7">
        <w:rPr>
          <w:rFonts w:ascii="Garamond" w:hAnsi="Garamond"/>
          <w:i/>
          <w:sz w:val="20"/>
          <w:szCs w:val="20"/>
        </w:rPr>
        <w:t>;</w:t>
      </w:r>
    </w:p>
    <w:p w14:paraId="6F8C8001" w14:textId="05E9CE30" w:rsidR="00E2700E" w:rsidRPr="007A29C7" w:rsidRDefault="007A29C7" w:rsidP="007A29C7">
      <w:pPr>
        <w:widowControl w:val="0"/>
        <w:spacing w:after="0" w:line="240" w:lineRule="auto"/>
        <w:jc w:val="both"/>
        <w:rPr>
          <w:rFonts w:ascii="Garamond" w:hAnsi="Garamond"/>
          <w:i/>
          <w:sz w:val="20"/>
          <w:szCs w:val="20"/>
        </w:rPr>
      </w:pPr>
      <w:r w:rsidRPr="007A29C7">
        <w:rPr>
          <w:rFonts w:ascii="Garamond" w:hAnsi="Garamond"/>
          <w:i/>
          <w:sz w:val="20"/>
          <w:szCs w:val="20"/>
        </w:rPr>
        <w:t xml:space="preserve">- </w:t>
      </w:r>
      <w:r w:rsidR="00E2700E" w:rsidRPr="007A29C7">
        <w:rPr>
          <w:rFonts w:ascii="Garamond" w:hAnsi="Garamond"/>
          <w:i/>
          <w:sz w:val="20"/>
          <w:szCs w:val="20"/>
        </w:rPr>
        <w:t>ridurre la probabilità del rischio?</w:t>
      </w:r>
      <w:r w:rsidRPr="007A29C7">
        <w:rPr>
          <w:rFonts w:ascii="Garamond" w:hAnsi="Garamond"/>
          <w:i/>
          <w:sz w:val="20"/>
          <w:szCs w:val="20"/>
        </w:rPr>
        <w:t>.</w:t>
      </w:r>
    </w:p>
    <w:p w14:paraId="57D58C22" w14:textId="43632D5B" w:rsidR="00E2700E" w:rsidRPr="007A29C7" w:rsidRDefault="00E2700E" w:rsidP="007A29C7">
      <w:pPr>
        <w:spacing w:after="0" w:line="240" w:lineRule="auto"/>
        <w:jc w:val="both"/>
        <w:rPr>
          <w:rFonts w:ascii="Garamond" w:eastAsia="Garamond" w:hAnsi="Garamond" w:cs="Garamond"/>
          <w:sz w:val="20"/>
          <w:szCs w:val="20"/>
        </w:rPr>
      </w:pPr>
      <w:r w:rsidRPr="007A29C7">
        <w:rPr>
          <w:rFonts w:ascii="Garamond" w:eastAsia="Garamond" w:hAnsi="Garamond" w:cs="Garamond"/>
          <w:sz w:val="20"/>
          <w:szCs w:val="20"/>
        </w:rPr>
        <w:t xml:space="preserve">Scopo della presente procedura è: </w:t>
      </w:r>
    </w:p>
    <w:p w14:paraId="52ED7817" w14:textId="77777777" w:rsidR="007A29C7"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sz w:val="20"/>
          <w:szCs w:val="20"/>
        </w:rPr>
        <w:t>-</w:t>
      </w:r>
      <w:r>
        <w:rPr>
          <w:rFonts w:ascii="Garamond" w:eastAsia="Garamond" w:hAnsi="Garamond" w:cs="Garamond"/>
          <w:sz w:val="20"/>
          <w:szCs w:val="20"/>
        </w:rPr>
        <w:t xml:space="preserve"> </w:t>
      </w:r>
      <w:r w:rsidR="00E2700E" w:rsidRPr="007A29C7">
        <w:rPr>
          <w:rFonts w:ascii="Garamond" w:eastAsia="Garamond" w:hAnsi="Garamond" w:cs="Garamond"/>
          <w:i/>
          <w:sz w:val="20"/>
          <w:szCs w:val="20"/>
        </w:rPr>
        <w:t>definire un modello di gestione del rischio;</w:t>
      </w:r>
    </w:p>
    <w:p w14:paraId="19F31C2A" w14:textId="41A97F6A" w:rsidR="007A29C7"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xml:space="preserve">- </w:t>
      </w:r>
      <w:r w:rsidR="00E2700E" w:rsidRPr="007A29C7">
        <w:rPr>
          <w:rFonts w:ascii="Garamond" w:eastAsia="Garamond" w:hAnsi="Garamond" w:cs="Garamond"/>
          <w:i/>
          <w:sz w:val="20"/>
          <w:szCs w:val="20"/>
        </w:rPr>
        <w:t xml:space="preserve">assicurare che il modello per la gestione del rischio sia in linea con la cultura di </w:t>
      </w:r>
      <w:r w:rsidR="00017FD6">
        <w:rPr>
          <w:rFonts w:ascii="Garamond" w:hAnsi="Garamond"/>
          <w:b/>
        </w:rPr>
        <w:t>ASP</w:t>
      </w:r>
    </w:p>
    <w:p w14:paraId="2996EFC3" w14:textId="02673EF0" w:rsidR="00E2700E"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xml:space="preserve">- </w:t>
      </w:r>
      <w:r w:rsidR="00E2700E" w:rsidRPr="007A29C7">
        <w:rPr>
          <w:rFonts w:ascii="Garamond" w:eastAsia="Garamond" w:hAnsi="Garamond" w:cs="Garamond"/>
          <w:i/>
          <w:sz w:val="20"/>
          <w:szCs w:val="20"/>
        </w:rPr>
        <w:t>determinare indicatori di prestazione della gestione del rischio che siano in linea con gli indicatori di prestazione dell’organizzazione;</w:t>
      </w:r>
    </w:p>
    <w:p w14:paraId="1E78CD08" w14:textId="63A153F6" w:rsidR="00E2700E"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xml:space="preserve">- </w:t>
      </w:r>
      <w:r w:rsidR="00E2700E" w:rsidRPr="007A29C7">
        <w:rPr>
          <w:rFonts w:ascii="Garamond" w:eastAsia="Garamond" w:hAnsi="Garamond" w:cs="Garamond"/>
          <w:i/>
          <w:sz w:val="20"/>
          <w:szCs w:val="20"/>
        </w:rPr>
        <w:t>allineare gli obiettivi della gestione del rischio con gli obiettivi e le strategie dell’organizzazione;</w:t>
      </w:r>
    </w:p>
    <w:p w14:paraId="1B5E606F" w14:textId="286FE058" w:rsidR="00E2700E"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xml:space="preserve">- </w:t>
      </w:r>
      <w:r w:rsidR="00E2700E" w:rsidRPr="007A29C7">
        <w:rPr>
          <w:rFonts w:ascii="Garamond" w:eastAsia="Garamond" w:hAnsi="Garamond" w:cs="Garamond"/>
          <w:i/>
          <w:sz w:val="20"/>
          <w:szCs w:val="20"/>
        </w:rPr>
        <w:t xml:space="preserve">assegnare i vari gradi di responsabilità ai livelli appropriati all’interno di </w:t>
      </w:r>
      <w:r w:rsidR="00017FD6">
        <w:rPr>
          <w:rFonts w:ascii="Garamond" w:hAnsi="Garamond"/>
          <w:b/>
        </w:rPr>
        <w:t>ASP</w:t>
      </w:r>
      <w:r w:rsidR="009F1DAA" w:rsidRPr="007A29C7">
        <w:rPr>
          <w:rFonts w:ascii="Garamond" w:hAnsi="Garamond"/>
        </w:rPr>
        <w:t>.</w:t>
      </w:r>
      <w:r w:rsidR="00E2700E" w:rsidRPr="007A29C7">
        <w:rPr>
          <w:rFonts w:ascii="Garamond" w:eastAsia="Garamond" w:hAnsi="Garamond" w:cs="Garamond"/>
          <w:i/>
          <w:sz w:val="20"/>
          <w:szCs w:val="20"/>
        </w:rPr>
        <w:t>;</w:t>
      </w:r>
    </w:p>
    <w:p w14:paraId="0EA64277" w14:textId="698E6442" w:rsidR="00E2700E"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xml:space="preserve">- </w:t>
      </w:r>
      <w:r w:rsidR="00E2700E" w:rsidRPr="007A29C7">
        <w:rPr>
          <w:rFonts w:ascii="Garamond" w:eastAsia="Garamond" w:hAnsi="Garamond" w:cs="Garamond"/>
          <w:i/>
          <w:sz w:val="20"/>
          <w:szCs w:val="20"/>
        </w:rPr>
        <w:t>assicurare che alla gestione del rischio siano allocate le risorse necessarie;</w:t>
      </w:r>
    </w:p>
    <w:p w14:paraId="1B50954A" w14:textId="101560E6" w:rsidR="00E2700E"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xml:space="preserve">- </w:t>
      </w:r>
      <w:r w:rsidR="00E2700E" w:rsidRPr="007A29C7">
        <w:rPr>
          <w:rFonts w:ascii="Garamond" w:eastAsia="Garamond" w:hAnsi="Garamond" w:cs="Garamond"/>
          <w:i/>
          <w:sz w:val="20"/>
          <w:szCs w:val="20"/>
        </w:rPr>
        <w:t>comunicare ai portatori d’interesse i benefici della gestione del rischio;</w:t>
      </w:r>
    </w:p>
    <w:p w14:paraId="7D7C0B59" w14:textId="6467D90D" w:rsidR="00E2700E" w:rsidRPr="007A29C7" w:rsidRDefault="007A29C7" w:rsidP="007A29C7">
      <w:pPr>
        <w:pBdr>
          <w:top w:val="nil"/>
          <w:left w:val="nil"/>
          <w:bottom w:val="nil"/>
          <w:right w:val="nil"/>
          <w:between w:val="nil"/>
        </w:pBdr>
        <w:spacing w:after="0" w:line="240" w:lineRule="auto"/>
        <w:jc w:val="both"/>
        <w:rPr>
          <w:rFonts w:ascii="Garamond" w:eastAsia="Garamond" w:hAnsi="Garamond" w:cs="Garamond"/>
          <w:i/>
          <w:sz w:val="20"/>
          <w:szCs w:val="20"/>
        </w:rPr>
      </w:pPr>
      <w:r w:rsidRPr="007A29C7">
        <w:rPr>
          <w:rFonts w:ascii="Garamond" w:eastAsia="Garamond" w:hAnsi="Garamond" w:cs="Garamond"/>
          <w:i/>
          <w:sz w:val="20"/>
          <w:szCs w:val="20"/>
        </w:rPr>
        <w:t>- a</w:t>
      </w:r>
      <w:r w:rsidR="00E2700E" w:rsidRPr="007A29C7">
        <w:rPr>
          <w:rFonts w:ascii="Garamond" w:eastAsia="Garamond" w:hAnsi="Garamond" w:cs="Garamond"/>
          <w:i/>
          <w:sz w:val="20"/>
          <w:szCs w:val="20"/>
        </w:rPr>
        <w:t>ssicurare che la struttura di riferimento per gestire il rischio continui ad essere appropriata.</w:t>
      </w:r>
    </w:p>
    <w:p w14:paraId="29017F00" w14:textId="4EF27264" w:rsidR="00E41F63" w:rsidRPr="009F1DAA" w:rsidRDefault="00E41F63" w:rsidP="009F1DAA">
      <w:pPr>
        <w:pStyle w:val="Titolo1"/>
        <w:numPr>
          <w:ilvl w:val="0"/>
          <w:numId w:val="1"/>
        </w:numPr>
        <w:spacing w:before="120" w:after="120" w:line="240" w:lineRule="auto"/>
        <w:ind w:left="0" w:firstLine="0"/>
        <w:rPr>
          <w:rFonts w:ascii="Garamond" w:hAnsi="Garamond"/>
          <w:bCs w:val="0"/>
          <w:color w:val="00B0F0"/>
          <w:sz w:val="22"/>
          <w:szCs w:val="22"/>
          <w:lang w:eastAsia="it-IT"/>
        </w:rPr>
      </w:pPr>
      <w:bookmarkStart w:id="2" w:name="_Toc519585646"/>
      <w:bookmarkStart w:id="3" w:name="_Toc875881"/>
      <w:r w:rsidRPr="009F1DAA">
        <w:rPr>
          <w:rFonts w:ascii="Garamond" w:hAnsi="Garamond"/>
          <w:bCs w:val="0"/>
          <w:color w:val="00B0F0"/>
          <w:sz w:val="22"/>
          <w:szCs w:val="22"/>
          <w:lang w:eastAsia="it-IT"/>
        </w:rPr>
        <w:t>Riferimenti Normativi</w:t>
      </w:r>
      <w:bookmarkEnd w:id="2"/>
      <w:bookmarkEnd w:id="3"/>
    </w:p>
    <w:p w14:paraId="2FC517DE" w14:textId="2CFA96C3" w:rsidR="00E2700E" w:rsidRPr="009F1DAA" w:rsidRDefault="00E2700E" w:rsidP="00E6510F">
      <w:pPr>
        <w:numPr>
          <w:ilvl w:val="0"/>
          <w:numId w:val="3"/>
        </w:numPr>
        <w:pBdr>
          <w:top w:val="nil"/>
          <w:left w:val="nil"/>
          <w:bottom w:val="nil"/>
          <w:right w:val="nil"/>
          <w:between w:val="nil"/>
        </w:pBdr>
        <w:spacing w:after="120" w:line="280" w:lineRule="exact"/>
        <w:contextualSpacing/>
        <w:jc w:val="both"/>
        <w:rPr>
          <w:rFonts w:ascii="Garamond" w:eastAsia="Garamond" w:hAnsi="Garamond" w:cs="Garamond"/>
        </w:rPr>
      </w:pPr>
      <w:r w:rsidRPr="009F1DAA">
        <w:rPr>
          <w:rFonts w:ascii="Garamond" w:eastAsia="Garamond" w:hAnsi="Garamond" w:cs="Garamond"/>
        </w:rPr>
        <w:t>UNI ISO 37001:2016 - Sistema di G</w:t>
      </w:r>
      <w:r w:rsidR="003D56D6" w:rsidRPr="009F1DAA">
        <w:rPr>
          <w:rFonts w:ascii="Garamond" w:eastAsia="Garamond" w:hAnsi="Garamond" w:cs="Garamond"/>
        </w:rPr>
        <w:t xml:space="preserve">estione Anticorruzione </w:t>
      </w:r>
    </w:p>
    <w:p w14:paraId="7D73A015" w14:textId="77777777" w:rsidR="00E2700E" w:rsidRPr="009F1DAA" w:rsidRDefault="00E2700E" w:rsidP="00E6510F">
      <w:pPr>
        <w:numPr>
          <w:ilvl w:val="0"/>
          <w:numId w:val="3"/>
        </w:numPr>
        <w:pBdr>
          <w:top w:val="nil"/>
          <w:left w:val="nil"/>
          <w:bottom w:val="nil"/>
          <w:right w:val="nil"/>
          <w:between w:val="nil"/>
        </w:pBdr>
        <w:spacing w:after="120" w:line="280" w:lineRule="exact"/>
        <w:contextualSpacing/>
        <w:jc w:val="both"/>
        <w:rPr>
          <w:rFonts w:ascii="Garamond" w:eastAsia="Garamond" w:hAnsi="Garamond" w:cs="Garamond"/>
        </w:rPr>
      </w:pPr>
      <w:r w:rsidRPr="009F1DAA">
        <w:rPr>
          <w:rFonts w:ascii="Garamond" w:eastAsia="Garamond" w:hAnsi="Garamond" w:cs="Garamond"/>
        </w:rPr>
        <w:t>UNI ISO 31000 ed. 2010 - Gestione del rischio, principi e linee guida;</w:t>
      </w:r>
    </w:p>
    <w:p w14:paraId="57D14262" w14:textId="77777777" w:rsidR="00E2700E" w:rsidRPr="009F1DAA" w:rsidRDefault="00E2700E" w:rsidP="00E6510F">
      <w:pPr>
        <w:numPr>
          <w:ilvl w:val="0"/>
          <w:numId w:val="3"/>
        </w:numPr>
        <w:pBdr>
          <w:top w:val="nil"/>
          <w:left w:val="nil"/>
          <w:bottom w:val="nil"/>
          <w:right w:val="nil"/>
          <w:between w:val="nil"/>
        </w:pBdr>
        <w:spacing w:after="120" w:line="280" w:lineRule="exact"/>
        <w:contextualSpacing/>
        <w:jc w:val="both"/>
        <w:rPr>
          <w:rFonts w:ascii="Garamond" w:eastAsia="Garamond" w:hAnsi="Garamond" w:cs="Garamond"/>
          <w:lang w:val="en-US"/>
        </w:rPr>
      </w:pPr>
      <w:r w:rsidRPr="009F1DAA">
        <w:rPr>
          <w:rFonts w:ascii="Garamond" w:eastAsia="Garamond" w:hAnsi="Garamond" w:cs="Garamond"/>
          <w:lang w:val="en-US"/>
        </w:rPr>
        <w:t>ISO/IEC 31010 ed. 2009 - Risk management, Risk assessment techniques;</w:t>
      </w:r>
    </w:p>
    <w:p w14:paraId="11EC9414" w14:textId="77777777" w:rsidR="00E2700E" w:rsidRPr="009F1DAA" w:rsidRDefault="00E2700E" w:rsidP="00E6510F">
      <w:pPr>
        <w:numPr>
          <w:ilvl w:val="0"/>
          <w:numId w:val="3"/>
        </w:numPr>
        <w:pBdr>
          <w:top w:val="nil"/>
          <w:left w:val="nil"/>
          <w:bottom w:val="nil"/>
          <w:right w:val="nil"/>
          <w:between w:val="nil"/>
        </w:pBdr>
        <w:spacing w:after="120" w:line="280" w:lineRule="exact"/>
        <w:contextualSpacing/>
        <w:jc w:val="both"/>
        <w:rPr>
          <w:rFonts w:ascii="Garamond" w:eastAsia="Garamond" w:hAnsi="Garamond" w:cs="Garamond"/>
          <w:lang w:val="en-US"/>
        </w:rPr>
      </w:pPr>
      <w:r w:rsidRPr="009F1DAA">
        <w:rPr>
          <w:rFonts w:ascii="Garamond" w:eastAsia="Garamond" w:hAnsi="Garamond" w:cs="Garamond"/>
          <w:lang w:val="en-US"/>
        </w:rPr>
        <w:t>ISO Guide 73 ed. 2009 - Risk management, Vocabulary.</w:t>
      </w:r>
    </w:p>
    <w:p w14:paraId="11B2BAD9" w14:textId="03812CF8" w:rsidR="00E41F63" w:rsidRPr="00E2700E" w:rsidRDefault="00E41F63" w:rsidP="008D789C">
      <w:pPr>
        <w:tabs>
          <w:tab w:val="left" w:pos="814"/>
        </w:tabs>
        <w:suppressAutoHyphens/>
        <w:autoSpaceDE w:val="0"/>
        <w:spacing w:after="0"/>
        <w:rPr>
          <w:rFonts w:ascii="Gotham Light" w:hAnsi="Gotham Light"/>
          <w:sz w:val="24"/>
          <w:szCs w:val="24"/>
          <w:lang w:val="en-US"/>
        </w:rPr>
      </w:pPr>
      <w:r w:rsidRPr="00E2700E">
        <w:rPr>
          <w:rFonts w:ascii="Gotham Light" w:hAnsi="Gotham Light"/>
          <w:sz w:val="20"/>
          <w:szCs w:val="20"/>
          <w:lang w:val="en-US"/>
        </w:rPr>
        <w:br w:type="page"/>
      </w:r>
    </w:p>
    <w:p w14:paraId="10B6BF99" w14:textId="0A3FEC54" w:rsidR="00E41F63" w:rsidRPr="009E526D" w:rsidRDefault="00885224" w:rsidP="009F1DAA">
      <w:pPr>
        <w:pStyle w:val="Titolo1"/>
        <w:numPr>
          <w:ilvl w:val="0"/>
          <w:numId w:val="1"/>
        </w:numPr>
        <w:spacing w:before="120" w:after="120" w:line="240" w:lineRule="auto"/>
        <w:ind w:left="0" w:firstLine="0"/>
        <w:rPr>
          <w:rFonts w:ascii="Garamond" w:hAnsi="Garamond"/>
          <w:bCs w:val="0"/>
          <w:color w:val="00B0F0"/>
          <w:sz w:val="22"/>
          <w:szCs w:val="22"/>
          <w:lang w:eastAsia="it-IT"/>
        </w:rPr>
      </w:pPr>
      <w:bookmarkStart w:id="4" w:name="_Toc519585647"/>
      <w:bookmarkStart w:id="5" w:name="_Toc875882"/>
      <w:r w:rsidRPr="009E526D">
        <w:rPr>
          <w:rFonts w:ascii="Garamond" w:hAnsi="Garamond"/>
          <w:bCs w:val="0"/>
          <w:color w:val="00B0F0"/>
          <w:sz w:val="22"/>
          <w:szCs w:val="22"/>
          <w:lang w:eastAsia="it-IT"/>
        </w:rPr>
        <w:lastRenderedPageBreak/>
        <w:t>Terminologia</w:t>
      </w:r>
      <w:r w:rsidR="00E41F63" w:rsidRPr="009E526D">
        <w:rPr>
          <w:rFonts w:ascii="Garamond" w:hAnsi="Garamond"/>
          <w:bCs w:val="0"/>
          <w:color w:val="00B0F0"/>
          <w:sz w:val="22"/>
          <w:szCs w:val="22"/>
          <w:lang w:eastAsia="it-IT"/>
        </w:rPr>
        <w:t xml:space="preserve"> e Definizioni</w:t>
      </w:r>
      <w:bookmarkEnd w:id="4"/>
      <w:bookmarkEnd w:id="5"/>
    </w:p>
    <w:p w14:paraId="4D6BD34E" w14:textId="137FE93A" w:rsidR="00885224" w:rsidRPr="007A29C7" w:rsidRDefault="00885224" w:rsidP="009F1DAA">
      <w:pPr>
        <w:spacing w:after="0" w:line="240" w:lineRule="auto"/>
        <w:jc w:val="both"/>
        <w:rPr>
          <w:rFonts w:ascii="Garamond" w:eastAsia="Garamond" w:hAnsi="Garamond" w:cs="Garamond"/>
          <w:sz w:val="20"/>
          <w:szCs w:val="20"/>
        </w:rPr>
      </w:pPr>
      <w:r w:rsidRPr="007A29C7">
        <w:rPr>
          <w:rFonts w:ascii="Garamond" w:eastAsia="Garamond" w:hAnsi="Garamond" w:cs="Garamond"/>
          <w:sz w:val="20"/>
          <w:szCs w:val="20"/>
        </w:rPr>
        <w:t>Alle abbreviazioni che seguono, ricorrenti nel</w:t>
      </w:r>
      <w:r w:rsidR="00851F44" w:rsidRPr="007A29C7">
        <w:rPr>
          <w:rFonts w:ascii="Garamond" w:eastAsia="Garamond" w:hAnsi="Garamond" w:cs="Garamond"/>
          <w:sz w:val="20"/>
          <w:szCs w:val="20"/>
        </w:rPr>
        <w:t>la</w:t>
      </w:r>
      <w:r w:rsidRPr="007A29C7">
        <w:rPr>
          <w:rFonts w:ascii="Garamond" w:eastAsia="Garamond" w:hAnsi="Garamond" w:cs="Garamond"/>
          <w:sz w:val="20"/>
          <w:szCs w:val="20"/>
        </w:rPr>
        <w:t xml:space="preserve"> presente</w:t>
      </w:r>
      <w:r w:rsidR="002970FD" w:rsidRPr="007A29C7">
        <w:rPr>
          <w:rFonts w:ascii="Garamond" w:eastAsia="Garamond" w:hAnsi="Garamond" w:cs="Garamond"/>
          <w:sz w:val="20"/>
          <w:szCs w:val="20"/>
        </w:rPr>
        <w:t xml:space="preserve"> procedura, </w:t>
      </w:r>
      <w:r w:rsidRPr="007A29C7">
        <w:rPr>
          <w:rFonts w:ascii="Garamond" w:eastAsia="Garamond" w:hAnsi="Garamond" w:cs="Garamond"/>
          <w:sz w:val="20"/>
          <w:szCs w:val="20"/>
        </w:rPr>
        <w:t>onde evitare ambiguità, sono associate le definizioni indicate: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105"/>
        <w:gridCol w:w="6814"/>
      </w:tblGrid>
      <w:tr w:rsidR="000A3CCF" w:rsidRPr="007A29C7" w14:paraId="09837592" w14:textId="77777777" w:rsidTr="005569CC">
        <w:trPr>
          <w:trHeight w:val="86"/>
        </w:trPr>
        <w:tc>
          <w:tcPr>
            <w:tcW w:w="9209" w:type="dxa"/>
            <w:gridSpan w:val="3"/>
            <w:shd w:val="clear" w:color="auto" w:fill="830D28"/>
            <w:tcMar>
              <w:top w:w="100" w:type="dxa"/>
              <w:left w:w="100" w:type="dxa"/>
              <w:bottom w:w="100" w:type="dxa"/>
              <w:right w:w="100" w:type="dxa"/>
            </w:tcMar>
            <w:vAlign w:val="center"/>
          </w:tcPr>
          <w:p w14:paraId="6FBEE5D1" w14:textId="4E9EE371" w:rsidR="000A3CCF" w:rsidRPr="007A29C7" w:rsidRDefault="000A3CCF" w:rsidP="009F1DAA">
            <w:pPr>
              <w:spacing w:after="0" w:line="240" w:lineRule="auto"/>
              <w:rPr>
                <w:rFonts w:ascii="Garamond" w:eastAsia="Garamond" w:hAnsi="Garamond" w:cs="Garamond"/>
                <w:color w:val="FFFFFF" w:themeColor="background1"/>
                <w:sz w:val="18"/>
                <w:szCs w:val="18"/>
              </w:rPr>
            </w:pPr>
            <w:r w:rsidRPr="007A29C7">
              <w:rPr>
                <w:rFonts w:ascii="Garamond" w:eastAsia="Garamond" w:hAnsi="Garamond" w:cs="Garamond"/>
                <w:b/>
                <w:color w:val="FFFFFF" w:themeColor="background1"/>
                <w:sz w:val="18"/>
                <w:szCs w:val="18"/>
              </w:rPr>
              <w:t>DEFINIZIONI</w:t>
            </w:r>
          </w:p>
        </w:tc>
      </w:tr>
      <w:tr w:rsidR="000A3CCF" w:rsidRPr="007A29C7" w14:paraId="6BFBB253" w14:textId="77777777" w:rsidTr="005569CC">
        <w:trPr>
          <w:trHeight w:val="227"/>
        </w:trPr>
        <w:tc>
          <w:tcPr>
            <w:tcW w:w="2295" w:type="dxa"/>
            <w:shd w:val="clear" w:color="auto" w:fill="830D28"/>
            <w:tcMar>
              <w:top w:w="100" w:type="dxa"/>
              <w:left w:w="100" w:type="dxa"/>
              <w:bottom w:w="100" w:type="dxa"/>
              <w:right w:w="100" w:type="dxa"/>
            </w:tcMar>
          </w:tcPr>
          <w:p w14:paraId="13421239" w14:textId="15784D16" w:rsidR="000A3CCF" w:rsidRPr="007A29C7" w:rsidRDefault="000A3CCF"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Analisi del rischio</w:t>
            </w:r>
          </w:p>
        </w:tc>
        <w:tc>
          <w:tcPr>
            <w:tcW w:w="6914" w:type="dxa"/>
            <w:gridSpan w:val="2"/>
            <w:shd w:val="clear" w:color="auto" w:fill="auto"/>
            <w:tcMar>
              <w:top w:w="100" w:type="dxa"/>
              <w:left w:w="100" w:type="dxa"/>
              <w:bottom w:w="100" w:type="dxa"/>
              <w:right w:w="100" w:type="dxa"/>
            </w:tcMar>
          </w:tcPr>
          <w:p w14:paraId="68C1C050" w14:textId="379E77BA" w:rsidR="000A3CCF" w:rsidRPr="007A29C7" w:rsidRDefault="000A3CCF"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Processo di comprensione della natura del rischio e di determinazione del livello di rischio.</w:t>
            </w:r>
          </w:p>
        </w:tc>
      </w:tr>
      <w:tr w:rsidR="000A3CCF" w:rsidRPr="007A29C7" w14:paraId="6B7B5052" w14:textId="77777777" w:rsidTr="005569CC">
        <w:trPr>
          <w:trHeight w:val="36"/>
        </w:trPr>
        <w:tc>
          <w:tcPr>
            <w:tcW w:w="2295" w:type="dxa"/>
            <w:shd w:val="clear" w:color="auto" w:fill="830D28"/>
            <w:tcMar>
              <w:top w:w="100" w:type="dxa"/>
              <w:left w:w="100" w:type="dxa"/>
              <w:bottom w:w="100" w:type="dxa"/>
              <w:right w:w="100" w:type="dxa"/>
            </w:tcMar>
          </w:tcPr>
          <w:p w14:paraId="31F4FE42" w14:textId="46567A0D" w:rsidR="000A3CCF" w:rsidRPr="007A29C7" w:rsidRDefault="000A3CCF"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Conseguenza</w:t>
            </w:r>
          </w:p>
        </w:tc>
        <w:tc>
          <w:tcPr>
            <w:tcW w:w="6914" w:type="dxa"/>
            <w:gridSpan w:val="2"/>
            <w:shd w:val="clear" w:color="auto" w:fill="auto"/>
            <w:tcMar>
              <w:top w:w="100" w:type="dxa"/>
              <w:left w:w="100" w:type="dxa"/>
              <w:bottom w:w="100" w:type="dxa"/>
              <w:right w:w="100" w:type="dxa"/>
            </w:tcMar>
          </w:tcPr>
          <w:p w14:paraId="1ECAF73B" w14:textId="77018FF6" w:rsidR="000A3CCF" w:rsidRPr="007A29C7" w:rsidRDefault="000A3CCF"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Esito di un evento che influenza gli obiettivi.</w:t>
            </w:r>
          </w:p>
        </w:tc>
      </w:tr>
      <w:tr w:rsidR="000A3CCF" w:rsidRPr="007A29C7" w14:paraId="13B10D49" w14:textId="77777777" w:rsidTr="005569CC">
        <w:trPr>
          <w:trHeight w:val="18"/>
        </w:trPr>
        <w:tc>
          <w:tcPr>
            <w:tcW w:w="2295" w:type="dxa"/>
            <w:shd w:val="clear" w:color="auto" w:fill="830D28"/>
            <w:tcMar>
              <w:top w:w="100" w:type="dxa"/>
              <w:left w:w="100" w:type="dxa"/>
              <w:bottom w:w="100" w:type="dxa"/>
              <w:right w:w="100" w:type="dxa"/>
            </w:tcMar>
            <w:vAlign w:val="center"/>
          </w:tcPr>
          <w:p w14:paraId="74C55B56" w14:textId="1CE969A9" w:rsidR="000A3CCF" w:rsidRPr="007A29C7" w:rsidRDefault="000A3CCF"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Contesto</w:t>
            </w:r>
          </w:p>
        </w:tc>
        <w:tc>
          <w:tcPr>
            <w:tcW w:w="6914" w:type="dxa"/>
            <w:gridSpan w:val="2"/>
            <w:shd w:val="clear" w:color="auto" w:fill="auto"/>
            <w:tcMar>
              <w:top w:w="100" w:type="dxa"/>
              <w:left w:w="100" w:type="dxa"/>
              <w:bottom w:w="100" w:type="dxa"/>
              <w:right w:w="100" w:type="dxa"/>
            </w:tcMar>
          </w:tcPr>
          <w:p w14:paraId="524DF4B1" w14:textId="123F20A5" w:rsidR="000A3CCF" w:rsidRPr="007A29C7" w:rsidRDefault="000A3CCF"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Definizione dei parametri esterni ed interni da tenere in considerazione quando si gestisce il rischio e si definiscono il campo di applicazione ed i criteri di rischio per la politica per la gestione del rischio.</w:t>
            </w:r>
          </w:p>
        </w:tc>
      </w:tr>
      <w:tr w:rsidR="000A3CCF" w:rsidRPr="007A29C7" w14:paraId="2FE8A90B" w14:textId="77777777" w:rsidTr="005569CC">
        <w:trPr>
          <w:trHeight w:val="67"/>
        </w:trPr>
        <w:tc>
          <w:tcPr>
            <w:tcW w:w="2295" w:type="dxa"/>
            <w:shd w:val="clear" w:color="auto" w:fill="830D28"/>
            <w:tcMar>
              <w:top w:w="100" w:type="dxa"/>
              <w:left w:w="100" w:type="dxa"/>
              <w:bottom w:w="100" w:type="dxa"/>
              <w:right w:w="100" w:type="dxa"/>
            </w:tcMar>
          </w:tcPr>
          <w:p w14:paraId="0A575AFA" w14:textId="7FAD69FF" w:rsidR="000A3CCF" w:rsidRPr="007A29C7" w:rsidRDefault="000A3CCF"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Controllo</w:t>
            </w:r>
          </w:p>
        </w:tc>
        <w:tc>
          <w:tcPr>
            <w:tcW w:w="6914" w:type="dxa"/>
            <w:gridSpan w:val="2"/>
            <w:shd w:val="clear" w:color="auto" w:fill="auto"/>
            <w:tcMar>
              <w:top w:w="100" w:type="dxa"/>
              <w:left w:w="100" w:type="dxa"/>
              <w:bottom w:w="100" w:type="dxa"/>
              <w:right w:w="100" w:type="dxa"/>
            </w:tcMar>
          </w:tcPr>
          <w:p w14:paraId="5449D7CD" w14:textId="602D4F42" w:rsidR="000A3CCF" w:rsidRPr="007A29C7" w:rsidRDefault="000A3CCF"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Misura che sta modificando il rischio.</w:t>
            </w:r>
          </w:p>
        </w:tc>
      </w:tr>
      <w:tr w:rsidR="000A3CCF" w:rsidRPr="007A29C7" w14:paraId="6A11429A" w14:textId="77777777" w:rsidTr="005569CC">
        <w:trPr>
          <w:trHeight w:val="23"/>
        </w:trPr>
        <w:tc>
          <w:tcPr>
            <w:tcW w:w="2295" w:type="dxa"/>
            <w:shd w:val="clear" w:color="auto" w:fill="830D28"/>
            <w:tcMar>
              <w:top w:w="100" w:type="dxa"/>
              <w:left w:w="100" w:type="dxa"/>
              <w:bottom w:w="100" w:type="dxa"/>
              <w:right w:w="100" w:type="dxa"/>
            </w:tcMar>
            <w:vAlign w:val="center"/>
          </w:tcPr>
          <w:p w14:paraId="0BA9CF1C" w14:textId="2FE38581" w:rsidR="000A3CCF" w:rsidRPr="007A29C7" w:rsidRDefault="007E7CF5"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Criteri di rischio</w:t>
            </w:r>
          </w:p>
        </w:tc>
        <w:tc>
          <w:tcPr>
            <w:tcW w:w="6914" w:type="dxa"/>
            <w:gridSpan w:val="2"/>
            <w:shd w:val="clear" w:color="auto" w:fill="auto"/>
            <w:tcMar>
              <w:top w:w="100" w:type="dxa"/>
              <w:left w:w="100" w:type="dxa"/>
              <w:bottom w:w="100" w:type="dxa"/>
              <w:right w:w="100" w:type="dxa"/>
            </w:tcMar>
            <w:vAlign w:val="center"/>
          </w:tcPr>
          <w:p w14:paraId="0C7B1CEC" w14:textId="5A8600A4" w:rsidR="000A3CCF" w:rsidRPr="007A29C7" w:rsidRDefault="007E7CF5"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Termini di riferimento a fronte dei quali è valutata la significatività del rischio.</w:t>
            </w:r>
          </w:p>
        </w:tc>
      </w:tr>
      <w:tr w:rsidR="00B96F2E" w:rsidRPr="007A29C7" w14:paraId="14DBD822" w14:textId="77777777" w:rsidTr="005569CC">
        <w:tc>
          <w:tcPr>
            <w:tcW w:w="2295" w:type="dxa"/>
            <w:shd w:val="clear" w:color="auto" w:fill="830D28"/>
            <w:tcMar>
              <w:top w:w="100" w:type="dxa"/>
              <w:left w:w="100" w:type="dxa"/>
              <w:bottom w:w="100" w:type="dxa"/>
              <w:right w:w="100" w:type="dxa"/>
            </w:tcMar>
            <w:vAlign w:val="center"/>
          </w:tcPr>
          <w:p w14:paraId="29DE1121" w14:textId="3B5E3E3F"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Identificazione del rischio</w:t>
            </w:r>
          </w:p>
        </w:tc>
        <w:tc>
          <w:tcPr>
            <w:tcW w:w="6914" w:type="dxa"/>
            <w:gridSpan w:val="2"/>
            <w:shd w:val="clear" w:color="auto" w:fill="auto"/>
            <w:tcMar>
              <w:top w:w="100" w:type="dxa"/>
              <w:left w:w="100" w:type="dxa"/>
              <w:bottom w:w="100" w:type="dxa"/>
              <w:right w:w="100" w:type="dxa"/>
            </w:tcMar>
            <w:vAlign w:val="center"/>
          </w:tcPr>
          <w:p w14:paraId="4743F35B" w14:textId="088ECAD0"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Processo di ricerca, individuazione e descrizione dei rischi</w:t>
            </w:r>
          </w:p>
        </w:tc>
      </w:tr>
      <w:tr w:rsidR="00B96F2E" w:rsidRPr="007A29C7" w14:paraId="206EBD1B" w14:textId="77777777" w:rsidTr="005569CC">
        <w:tc>
          <w:tcPr>
            <w:tcW w:w="2295" w:type="dxa"/>
            <w:shd w:val="clear" w:color="auto" w:fill="830D28"/>
            <w:tcMar>
              <w:top w:w="100" w:type="dxa"/>
              <w:left w:w="100" w:type="dxa"/>
              <w:bottom w:w="100" w:type="dxa"/>
              <w:right w:w="100" w:type="dxa"/>
            </w:tcMar>
            <w:vAlign w:val="center"/>
          </w:tcPr>
          <w:p w14:paraId="722C42FE" w14:textId="56584911"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Livello di rischio</w:t>
            </w:r>
          </w:p>
        </w:tc>
        <w:tc>
          <w:tcPr>
            <w:tcW w:w="6914" w:type="dxa"/>
            <w:gridSpan w:val="2"/>
            <w:shd w:val="clear" w:color="auto" w:fill="auto"/>
            <w:tcMar>
              <w:top w:w="100" w:type="dxa"/>
              <w:left w:w="100" w:type="dxa"/>
              <w:bottom w:w="100" w:type="dxa"/>
              <w:right w:w="100" w:type="dxa"/>
            </w:tcMar>
            <w:vAlign w:val="center"/>
          </w:tcPr>
          <w:p w14:paraId="271309E1" w14:textId="0A5E1ADA"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Espressione quantitativa di un rischio o combinazione di rischi, espresso in termini di combinazione di conseguenze e della loro verosimiglianza.</w:t>
            </w:r>
          </w:p>
        </w:tc>
      </w:tr>
      <w:tr w:rsidR="00B96F2E" w:rsidRPr="007A29C7" w14:paraId="72E55B94" w14:textId="77777777" w:rsidTr="005569CC">
        <w:trPr>
          <w:trHeight w:val="60"/>
        </w:trPr>
        <w:tc>
          <w:tcPr>
            <w:tcW w:w="2295" w:type="dxa"/>
            <w:shd w:val="clear" w:color="auto" w:fill="830D28"/>
            <w:tcMar>
              <w:top w:w="100" w:type="dxa"/>
              <w:left w:w="100" w:type="dxa"/>
              <w:bottom w:w="100" w:type="dxa"/>
              <w:right w:w="100" w:type="dxa"/>
            </w:tcMar>
            <w:vAlign w:val="center"/>
          </w:tcPr>
          <w:p w14:paraId="41FF169E" w14:textId="6D94E52B"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Monitoraggio</w:t>
            </w:r>
          </w:p>
        </w:tc>
        <w:tc>
          <w:tcPr>
            <w:tcW w:w="6914" w:type="dxa"/>
            <w:gridSpan w:val="2"/>
            <w:shd w:val="clear" w:color="auto" w:fill="auto"/>
            <w:tcMar>
              <w:top w:w="100" w:type="dxa"/>
              <w:left w:w="100" w:type="dxa"/>
              <w:bottom w:w="100" w:type="dxa"/>
              <w:right w:w="100" w:type="dxa"/>
            </w:tcMar>
            <w:vAlign w:val="center"/>
          </w:tcPr>
          <w:p w14:paraId="72138BC1" w14:textId="3CC89959"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Verifica, supervisione, osservazione critica o determinazione in continuo dello stato al fine di identificare variazioni rispetto al livello di prestazione richiesto o atteso</w:t>
            </w:r>
          </w:p>
        </w:tc>
      </w:tr>
      <w:tr w:rsidR="00B96F2E" w:rsidRPr="007A29C7" w14:paraId="1A9A3C72" w14:textId="77777777" w:rsidTr="005569CC">
        <w:trPr>
          <w:trHeight w:val="18"/>
        </w:trPr>
        <w:tc>
          <w:tcPr>
            <w:tcW w:w="2295" w:type="dxa"/>
            <w:shd w:val="clear" w:color="auto" w:fill="830D28"/>
            <w:tcMar>
              <w:top w:w="100" w:type="dxa"/>
              <w:left w:w="100" w:type="dxa"/>
              <w:bottom w:w="100" w:type="dxa"/>
              <w:right w:w="100" w:type="dxa"/>
            </w:tcMar>
            <w:vAlign w:val="center"/>
          </w:tcPr>
          <w:p w14:paraId="5B493C64" w14:textId="667EF5E4"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Ponderazione del rischio</w:t>
            </w:r>
          </w:p>
        </w:tc>
        <w:tc>
          <w:tcPr>
            <w:tcW w:w="6914" w:type="dxa"/>
            <w:gridSpan w:val="2"/>
            <w:shd w:val="clear" w:color="auto" w:fill="auto"/>
            <w:tcMar>
              <w:top w:w="100" w:type="dxa"/>
              <w:left w:w="100" w:type="dxa"/>
              <w:bottom w:w="100" w:type="dxa"/>
              <w:right w:w="100" w:type="dxa"/>
            </w:tcMar>
          </w:tcPr>
          <w:p w14:paraId="239EB533" w14:textId="4589B2F9" w:rsidR="00B96F2E" w:rsidRPr="007A29C7" w:rsidRDefault="007A29C7" w:rsidP="00017FD6">
            <w:pPr>
              <w:spacing w:after="0" w:line="240" w:lineRule="auto"/>
              <w:jc w:val="both"/>
              <w:rPr>
                <w:rFonts w:ascii="Garamond" w:eastAsia="Garamond" w:hAnsi="Garamond" w:cs="Garamond"/>
                <w:sz w:val="18"/>
                <w:szCs w:val="18"/>
              </w:rPr>
            </w:pPr>
            <w:r>
              <w:rPr>
                <w:rFonts w:ascii="Garamond" w:eastAsia="Garamond" w:hAnsi="Garamond" w:cs="Garamond"/>
                <w:sz w:val="18"/>
                <w:szCs w:val="18"/>
              </w:rPr>
              <w:t xml:space="preserve">Processo </w:t>
            </w:r>
            <w:r w:rsidR="009F1DAA">
              <w:rPr>
                <w:rFonts w:ascii="Garamond" w:eastAsia="Garamond" w:hAnsi="Garamond" w:cs="Garamond"/>
                <w:sz w:val="18"/>
                <w:szCs w:val="18"/>
              </w:rPr>
              <w:t xml:space="preserve">di </w:t>
            </w:r>
            <w:r w:rsidR="00017FD6">
              <w:rPr>
                <w:rFonts w:ascii="Garamond" w:eastAsia="Garamond" w:hAnsi="Garamond" w:cs="Garamond"/>
                <w:sz w:val="18"/>
                <w:szCs w:val="18"/>
              </w:rPr>
              <w:t xml:space="preserve">comparazione </w:t>
            </w:r>
            <w:r w:rsidR="00B96F2E" w:rsidRPr="007A29C7">
              <w:rPr>
                <w:rFonts w:ascii="Garamond" w:eastAsia="Garamond" w:hAnsi="Garamond" w:cs="Garamond"/>
                <w:sz w:val="18"/>
                <w:szCs w:val="18"/>
              </w:rPr>
              <w:t>dei</w:t>
            </w:r>
            <w:r w:rsidR="00017FD6">
              <w:rPr>
                <w:rFonts w:ascii="Garamond" w:eastAsia="Garamond" w:hAnsi="Garamond" w:cs="Garamond"/>
                <w:sz w:val="18"/>
                <w:szCs w:val="18"/>
              </w:rPr>
              <w:t xml:space="preserve"> risultati dell’analisi del </w:t>
            </w:r>
            <w:r w:rsidR="00B96F2E" w:rsidRPr="007A29C7">
              <w:rPr>
                <w:rFonts w:ascii="Garamond" w:eastAsia="Garamond" w:hAnsi="Garamond" w:cs="Garamond"/>
                <w:sz w:val="18"/>
                <w:szCs w:val="18"/>
              </w:rPr>
              <w:t>rischio rispetto ai criteri di rischio per determinare se il rischio e/o la sua espressione quantitativa sia accettabile o tollerabile.</w:t>
            </w:r>
          </w:p>
        </w:tc>
      </w:tr>
      <w:tr w:rsidR="00B96F2E" w:rsidRPr="007A29C7" w14:paraId="13F9F111" w14:textId="77777777" w:rsidTr="005569CC">
        <w:trPr>
          <w:trHeight w:val="199"/>
        </w:trPr>
        <w:tc>
          <w:tcPr>
            <w:tcW w:w="2295" w:type="dxa"/>
            <w:shd w:val="clear" w:color="auto" w:fill="830D28"/>
            <w:tcMar>
              <w:top w:w="100" w:type="dxa"/>
              <w:left w:w="100" w:type="dxa"/>
              <w:bottom w:w="100" w:type="dxa"/>
              <w:right w:w="100" w:type="dxa"/>
            </w:tcMar>
            <w:vAlign w:val="center"/>
          </w:tcPr>
          <w:p w14:paraId="795AA6A3" w14:textId="593F16BB"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Portatore di interesse</w:t>
            </w:r>
          </w:p>
        </w:tc>
        <w:tc>
          <w:tcPr>
            <w:tcW w:w="6914" w:type="dxa"/>
            <w:gridSpan w:val="2"/>
            <w:shd w:val="clear" w:color="auto" w:fill="auto"/>
            <w:tcMar>
              <w:top w:w="100" w:type="dxa"/>
              <w:left w:w="100" w:type="dxa"/>
              <w:bottom w:w="100" w:type="dxa"/>
              <w:right w:w="100" w:type="dxa"/>
            </w:tcMar>
          </w:tcPr>
          <w:p w14:paraId="25B7B726" w14:textId="2BA2F558"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Persona od organizzazione che può influenzare, essere influenzata da, o percepire se stessa come influenzata da una decisione o attività.</w:t>
            </w:r>
          </w:p>
        </w:tc>
      </w:tr>
      <w:tr w:rsidR="00B96F2E" w:rsidRPr="007A29C7" w14:paraId="25738E4F" w14:textId="77777777" w:rsidTr="005569CC">
        <w:tc>
          <w:tcPr>
            <w:tcW w:w="2295" w:type="dxa"/>
            <w:shd w:val="clear" w:color="auto" w:fill="830D28"/>
            <w:tcMar>
              <w:top w:w="100" w:type="dxa"/>
              <w:left w:w="100" w:type="dxa"/>
              <w:bottom w:w="100" w:type="dxa"/>
              <w:right w:w="100" w:type="dxa"/>
            </w:tcMar>
            <w:vAlign w:val="center"/>
          </w:tcPr>
          <w:p w14:paraId="774FDCF5" w14:textId="70F48270"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shd w:val="clear" w:color="auto" w:fill="830D28"/>
              </w:rPr>
              <w:t>Possibilità (Probabilità</w:t>
            </w:r>
            <w:r w:rsidRPr="007A29C7">
              <w:rPr>
                <w:rFonts w:ascii="Garamond" w:eastAsia="Garamond" w:hAnsi="Garamond" w:cs="Garamond"/>
                <w:b/>
                <w:sz w:val="18"/>
                <w:szCs w:val="18"/>
              </w:rPr>
              <w:t>)</w:t>
            </w:r>
          </w:p>
        </w:tc>
        <w:tc>
          <w:tcPr>
            <w:tcW w:w="6914" w:type="dxa"/>
            <w:gridSpan w:val="2"/>
            <w:shd w:val="clear" w:color="auto" w:fill="auto"/>
            <w:tcMar>
              <w:top w:w="100" w:type="dxa"/>
              <w:left w:w="100" w:type="dxa"/>
              <w:bottom w:w="100" w:type="dxa"/>
              <w:right w:w="100" w:type="dxa"/>
            </w:tcMar>
          </w:tcPr>
          <w:p w14:paraId="4DDCAA06" w14:textId="1A1C7F91"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Plausibilità di un accadimento ipotizzabile.</w:t>
            </w:r>
          </w:p>
        </w:tc>
      </w:tr>
      <w:tr w:rsidR="00B96F2E" w:rsidRPr="007A29C7" w14:paraId="60214375" w14:textId="77777777" w:rsidTr="005569CC">
        <w:tc>
          <w:tcPr>
            <w:tcW w:w="2295" w:type="dxa"/>
            <w:shd w:val="clear" w:color="auto" w:fill="830D28"/>
            <w:tcMar>
              <w:top w:w="100" w:type="dxa"/>
              <w:left w:w="100" w:type="dxa"/>
              <w:bottom w:w="100" w:type="dxa"/>
              <w:right w:w="100" w:type="dxa"/>
            </w:tcMar>
            <w:vAlign w:val="center"/>
          </w:tcPr>
          <w:p w14:paraId="15A68311" w14:textId="3BC18996" w:rsidR="00B96F2E" w:rsidRPr="007A29C7" w:rsidRDefault="00B96F2E" w:rsidP="009F1DAA">
            <w:pPr>
              <w:spacing w:after="0" w:line="240" w:lineRule="auto"/>
              <w:jc w:val="center"/>
              <w:rPr>
                <w:rFonts w:ascii="Garamond" w:eastAsia="Garamond" w:hAnsi="Garamond" w:cs="Garamond"/>
                <w:b/>
                <w:sz w:val="18"/>
                <w:szCs w:val="18"/>
                <w:shd w:val="clear" w:color="auto" w:fill="830D28"/>
              </w:rPr>
            </w:pPr>
            <w:r w:rsidRPr="007A29C7">
              <w:rPr>
                <w:rFonts w:ascii="Garamond" w:eastAsia="Garamond" w:hAnsi="Garamond" w:cs="Garamond"/>
                <w:b/>
                <w:sz w:val="18"/>
                <w:szCs w:val="18"/>
              </w:rPr>
              <w:t>Processo di gestione del rischio</w:t>
            </w:r>
          </w:p>
        </w:tc>
        <w:tc>
          <w:tcPr>
            <w:tcW w:w="6914" w:type="dxa"/>
            <w:gridSpan w:val="2"/>
            <w:shd w:val="clear" w:color="auto" w:fill="auto"/>
            <w:tcMar>
              <w:top w:w="100" w:type="dxa"/>
              <w:left w:w="100" w:type="dxa"/>
              <w:bottom w:w="100" w:type="dxa"/>
              <w:right w:w="100" w:type="dxa"/>
            </w:tcMar>
          </w:tcPr>
          <w:p w14:paraId="2FFEE198" w14:textId="68C75DDE"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Applicazione sistematica delle politiche, procedure e prassi di gestione alle attività di comunicazione, consultazione, definizione del contesto e identificazione, analisi, ponderazione, trattamento, monitoraggio e riesame del rischio.</w:t>
            </w:r>
          </w:p>
        </w:tc>
      </w:tr>
      <w:tr w:rsidR="00B96F2E" w:rsidRPr="007A29C7" w14:paraId="4D372CCD" w14:textId="77777777" w:rsidTr="005569CC">
        <w:trPr>
          <w:trHeight w:val="177"/>
        </w:trPr>
        <w:tc>
          <w:tcPr>
            <w:tcW w:w="2295" w:type="dxa"/>
            <w:shd w:val="clear" w:color="auto" w:fill="830D28"/>
            <w:tcMar>
              <w:top w:w="100" w:type="dxa"/>
              <w:left w:w="100" w:type="dxa"/>
              <w:bottom w:w="100" w:type="dxa"/>
              <w:right w:w="100" w:type="dxa"/>
            </w:tcMar>
            <w:vAlign w:val="center"/>
          </w:tcPr>
          <w:p w14:paraId="033A6358" w14:textId="23CD19A1"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Riesame</w:t>
            </w:r>
          </w:p>
        </w:tc>
        <w:tc>
          <w:tcPr>
            <w:tcW w:w="6914" w:type="dxa"/>
            <w:gridSpan w:val="2"/>
            <w:shd w:val="clear" w:color="auto" w:fill="auto"/>
            <w:tcMar>
              <w:top w:w="100" w:type="dxa"/>
              <w:left w:w="100" w:type="dxa"/>
              <w:bottom w:w="100" w:type="dxa"/>
              <w:right w:w="100" w:type="dxa"/>
            </w:tcMar>
          </w:tcPr>
          <w:p w14:paraId="7201E18F" w14:textId="7BAA3515" w:rsidR="00B96F2E" w:rsidRPr="007A29C7" w:rsidRDefault="009F1DAA" w:rsidP="00017FD6">
            <w:pPr>
              <w:spacing w:after="0" w:line="240" w:lineRule="auto"/>
              <w:jc w:val="both"/>
              <w:rPr>
                <w:rFonts w:ascii="Garamond" w:eastAsia="Garamond" w:hAnsi="Garamond" w:cs="Garamond"/>
                <w:sz w:val="18"/>
                <w:szCs w:val="18"/>
              </w:rPr>
            </w:pPr>
            <w:r>
              <w:rPr>
                <w:rFonts w:ascii="Garamond" w:eastAsia="Garamond" w:hAnsi="Garamond" w:cs="Garamond"/>
                <w:sz w:val="18"/>
                <w:szCs w:val="18"/>
              </w:rPr>
              <w:t xml:space="preserve">Attività </w:t>
            </w:r>
            <w:r w:rsidR="00017FD6">
              <w:rPr>
                <w:rFonts w:ascii="Garamond" w:eastAsia="Garamond" w:hAnsi="Garamond" w:cs="Garamond"/>
                <w:sz w:val="18"/>
                <w:szCs w:val="18"/>
              </w:rPr>
              <w:t xml:space="preserve">effettuata per riscontrare l’idoneità, l’adeguatezza </w:t>
            </w:r>
            <w:r w:rsidR="00B96F2E" w:rsidRPr="007A29C7">
              <w:rPr>
                <w:rFonts w:ascii="Garamond" w:eastAsia="Garamond" w:hAnsi="Garamond" w:cs="Garamond"/>
                <w:sz w:val="18"/>
                <w:szCs w:val="18"/>
              </w:rPr>
              <w:t>e l’efficacia di qualcosa a conseguire gli obiettivi stabiliti.</w:t>
            </w:r>
          </w:p>
        </w:tc>
      </w:tr>
      <w:tr w:rsidR="00B96F2E" w:rsidRPr="007A29C7" w14:paraId="10DBA548" w14:textId="77777777" w:rsidTr="005569CC">
        <w:trPr>
          <w:trHeight w:val="555"/>
        </w:trPr>
        <w:tc>
          <w:tcPr>
            <w:tcW w:w="2295" w:type="dxa"/>
            <w:shd w:val="clear" w:color="auto" w:fill="830D28"/>
            <w:tcMar>
              <w:top w:w="100" w:type="dxa"/>
              <w:left w:w="100" w:type="dxa"/>
              <w:bottom w:w="100" w:type="dxa"/>
              <w:right w:w="100" w:type="dxa"/>
            </w:tcMar>
            <w:vAlign w:val="center"/>
          </w:tcPr>
          <w:p w14:paraId="1BEB81BB" w14:textId="7B8B136D"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Rischio</w:t>
            </w:r>
          </w:p>
        </w:tc>
        <w:tc>
          <w:tcPr>
            <w:tcW w:w="6914" w:type="dxa"/>
            <w:gridSpan w:val="2"/>
            <w:shd w:val="clear" w:color="auto" w:fill="auto"/>
            <w:tcMar>
              <w:top w:w="100" w:type="dxa"/>
              <w:left w:w="100" w:type="dxa"/>
              <w:bottom w:w="100" w:type="dxa"/>
              <w:right w:w="100" w:type="dxa"/>
            </w:tcMar>
          </w:tcPr>
          <w:p w14:paraId="34DCACBD" w14:textId="0FF91B31"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Effetto dell’incertezza sugli obiettivi, inteso come scostamento da quanto atteso - positivo e/o negativo. Gli obiettivi possono presentare aspetti differenti (come scopi finanziari, di salute e sicurezza, ambientali) e possono intervenire a livelli differenti (come progetti, prodotti e processi strategici, riguardanti l’intera organizzazione).</w:t>
            </w:r>
          </w:p>
        </w:tc>
      </w:tr>
      <w:tr w:rsidR="00B96F2E" w:rsidRPr="007A29C7" w14:paraId="0E4BEE07" w14:textId="77777777" w:rsidTr="005569CC">
        <w:tc>
          <w:tcPr>
            <w:tcW w:w="2295" w:type="dxa"/>
            <w:shd w:val="clear" w:color="auto" w:fill="830D28"/>
            <w:tcMar>
              <w:top w:w="100" w:type="dxa"/>
              <w:left w:w="100" w:type="dxa"/>
              <w:bottom w:w="100" w:type="dxa"/>
              <w:right w:w="100" w:type="dxa"/>
            </w:tcMar>
            <w:vAlign w:val="center"/>
          </w:tcPr>
          <w:p w14:paraId="002DB13A" w14:textId="4257A61E"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Trattamento del rischio</w:t>
            </w:r>
          </w:p>
        </w:tc>
        <w:tc>
          <w:tcPr>
            <w:tcW w:w="6914" w:type="dxa"/>
            <w:gridSpan w:val="2"/>
            <w:shd w:val="clear" w:color="auto" w:fill="auto"/>
            <w:tcMar>
              <w:top w:w="100" w:type="dxa"/>
              <w:left w:w="100" w:type="dxa"/>
              <w:bottom w:w="100" w:type="dxa"/>
              <w:right w:w="100" w:type="dxa"/>
            </w:tcMar>
          </w:tcPr>
          <w:p w14:paraId="73F4B836" w14:textId="7A792E67"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Processo per modificare il rischio</w:t>
            </w:r>
          </w:p>
        </w:tc>
      </w:tr>
      <w:tr w:rsidR="00B96F2E" w:rsidRPr="007A29C7" w14:paraId="1AEDBF7B" w14:textId="77777777" w:rsidTr="005569CC">
        <w:tc>
          <w:tcPr>
            <w:tcW w:w="2295" w:type="dxa"/>
            <w:shd w:val="clear" w:color="auto" w:fill="830D28"/>
            <w:tcMar>
              <w:top w:w="100" w:type="dxa"/>
              <w:left w:w="100" w:type="dxa"/>
              <w:bottom w:w="100" w:type="dxa"/>
              <w:right w:w="100" w:type="dxa"/>
            </w:tcMar>
            <w:vAlign w:val="center"/>
          </w:tcPr>
          <w:p w14:paraId="45C02FF7" w14:textId="4038A33E" w:rsidR="00B96F2E" w:rsidRPr="007A29C7" w:rsidRDefault="00B96F2E" w:rsidP="009F1DAA">
            <w:pPr>
              <w:spacing w:after="0" w:line="240" w:lineRule="auto"/>
              <w:jc w:val="center"/>
              <w:rPr>
                <w:rFonts w:ascii="Garamond" w:eastAsia="Garamond" w:hAnsi="Garamond" w:cs="Garamond"/>
                <w:b/>
                <w:sz w:val="18"/>
                <w:szCs w:val="18"/>
              </w:rPr>
            </w:pPr>
            <w:r w:rsidRPr="007A29C7">
              <w:rPr>
                <w:rFonts w:ascii="Garamond" w:eastAsia="Garamond" w:hAnsi="Garamond" w:cs="Garamond"/>
                <w:b/>
                <w:sz w:val="18"/>
                <w:szCs w:val="18"/>
              </w:rPr>
              <w:t>Valutazione del rischio</w:t>
            </w:r>
          </w:p>
        </w:tc>
        <w:tc>
          <w:tcPr>
            <w:tcW w:w="6914" w:type="dxa"/>
            <w:gridSpan w:val="2"/>
            <w:shd w:val="clear" w:color="auto" w:fill="auto"/>
            <w:tcMar>
              <w:top w:w="100" w:type="dxa"/>
              <w:left w:w="100" w:type="dxa"/>
              <w:bottom w:w="100" w:type="dxa"/>
              <w:right w:w="100" w:type="dxa"/>
            </w:tcMar>
          </w:tcPr>
          <w:p w14:paraId="78FCF271" w14:textId="3222ABFF" w:rsidR="00B96F2E" w:rsidRPr="007A29C7" w:rsidRDefault="00B96F2E" w:rsidP="00017FD6">
            <w:pPr>
              <w:spacing w:after="0" w:line="240" w:lineRule="auto"/>
              <w:jc w:val="both"/>
              <w:rPr>
                <w:rFonts w:ascii="Garamond" w:eastAsia="Garamond" w:hAnsi="Garamond" w:cs="Garamond"/>
                <w:sz w:val="18"/>
                <w:szCs w:val="18"/>
              </w:rPr>
            </w:pPr>
            <w:r w:rsidRPr="007A29C7">
              <w:rPr>
                <w:rFonts w:ascii="Garamond" w:eastAsia="Garamond" w:hAnsi="Garamond" w:cs="Garamond"/>
                <w:sz w:val="18"/>
                <w:szCs w:val="18"/>
              </w:rPr>
              <w:t>Processo complessivo di identificazione del rischio, analisi del rischio e ponderazione del rischio.</w:t>
            </w:r>
          </w:p>
        </w:tc>
      </w:tr>
      <w:tr w:rsidR="00B55A1F" w:rsidRPr="007A29C7" w14:paraId="13408706" w14:textId="77777777" w:rsidTr="005569CC">
        <w:trPr>
          <w:trHeight w:val="293"/>
        </w:trPr>
        <w:tc>
          <w:tcPr>
            <w:tcW w:w="9214" w:type="dxa"/>
            <w:gridSpan w:val="3"/>
            <w:shd w:val="clear" w:color="auto" w:fill="830D28"/>
            <w:tcMar>
              <w:top w:w="100" w:type="dxa"/>
              <w:left w:w="100" w:type="dxa"/>
              <w:bottom w:w="100" w:type="dxa"/>
              <w:right w:w="100" w:type="dxa"/>
            </w:tcMar>
            <w:vAlign w:val="center"/>
          </w:tcPr>
          <w:p w14:paraId="0A44FA3C" w14:textId="77777777" w:rsidR="00B55A1F" w:rsidRPr="007A29C7" w:rsidRDefault="00B55A1F" w:rsidP="009F1DAA">
            <w:pPr>
              <w:spacing w:after="0" w:line="240" w:lineRule="auto"/>
              <w:rPr>
                <w:rFonts w:ascii="Garamond" w:eastAsia="Garamond" w:hAnsi="Garamond" w:cs="Garamond"/>
                <w:color w:val="FFFFFF" w:themeColor="background1"/>
                <w:sz w:val="18"/>
                <w:szCs w:val="18"/>
              </w:rPr>
            </w:pPr>
            <w:r w:rsidRPr="007A29C7">
              <w:rPr>
                <w:rFonts w:ascii="Garamond" w:eastAsia="Garamond" w:hAnsi="Garamond" w:cs="Garamond"/>
                <w:b/>
                <w:color w:val="FFFFFF" w:themeColor="background1"/>
                <w:sz w:val="18"/>
                <w:szCs w:val="18"/>
              </w:rPr>
              <w:t>FUNZIONI</w:t>
            </w:r>
          </w:p>
        </w:tc>
      </w:tr>
      <w:tr w:rsidR="00B55A1F" w:rsidRPr="007A29C7" w14:paraId="3C98261B" w14:textId="77777777" w:rsidTr="005569CC">
        <w:tc>
          <w:tcPr>
            <w:tcW w:w="2400" w:type="dxa"/>
            <w:gridSpan w:val="2"/>
            <w:shd w:val="clear" w:color="auto" w:fill="830D28"/>
            <w:tcMar>
              <w:top w:w="100" w:type="dxa"/>
              <w:left w:w="100" w:type="dxa"/>
              <w:bottom w:w="100" w:type="dxa"/>
              <w:right w:w="100" w:type="dxa"/>
            </w:tcMar>
          </w:tcPr>
          <w:p w14:paraId="2D889FA3" w14:textId="1765A9FE" w:rsidR="00B55A1F" w:rsidRPr="007A29C7" w:rsidRDefault="007A29C7" w:rsidP="009F1DAA">
            <w:pPr>
              <w:spacing w:after="0" w:line="240" w:lineRule="auto"/>
              <w:jc w:val="center"/>
              <w:rPr>
                <w:rFonts w:ascii="Garamond" w:eastAsia="Garamond" w:hAnsi="Garamond" w:cs="Garamond"/>
                <w:b/>
                <w:sz w:val="18"/>
                <w:szCs w:val="18"/>
              </w:rPr>
            </w:pPr>
            <w:r>
              <w:rPr>
                <w:rFonts w:ascii="Garamond" w:eastAsia="Garamond" w:hAnsi="Garamond" w:cs="Garamond"/>
                <w:b/>
                <w:color w:val="FFFFFF" w:themeColor="background1"/>
                <w:sz w:val="18"/>
                <w:szCs w:val="18"/>
              </w:rPr>
              <w:t>AU</w:t>
            </w:r>
          </w:p>
        </w:tc>
        <w:tc>
          <w:tcPr>
            <w:tcW w:w="6814" w:type="dxa"/>
            <w:shd w:val="clear" w:color="auto" w:fill="auto"/>
            <w:tcMar>
              <w:top w:w="100" w:type="dxa"/>
              <w:left w:w="100" w:type="dxa"/>
              <w:bottom w:w="100" w:type="dxa"/>
              <w:right w:w="100" w:type="dxa"/>
            </w:tcMar>
          </w:tcPr>
          <w:p w14:paraId="6D60FB5E" w14:textId="6C46881F" w:rsidR="00B55A1F" w:rsidRPr="007A29C7" w:rsidRDefault="007A29C7" w:rsidP="009F1DAA">
            <w:pPr>
              <w:spacing w:after="0" w:line="240" w:lineRule="auto"/>
              <w:jc w:val="center"/>
              <w:rPr>
                <w:rFonts w:ascii="Garamond" w:eastAsia="Garamond" w:hAnsi="Garamond" w:cs="Garamond"/>
                <w:sz w:val="18"/>
                <w:szCs w:val="18"/>
              </w:rPr>
            </w:pPr>
            <w:r>
              <w:rPr>
                <w:rFonts w:ascii="Garamond" w:eastAsia="Garamond" w:hAnsi="Garamond" w:cs="Garamond"/>
                <w:sz w:val="18"/>
                <w:szCs w:val="18"/>
              </w:rPr>
              <w:t>Amministratore Unico</w:t>
            </w:r>
          </w:p>
        </w:tc>
      </w:tr>
    </w:tbl>
    <w:p w14:paraId="260E2393" w14:textId="6FB9F08D" w:rsidR="00885224" w:rsidRDefault="00885224" w:rsidP="00851F44">
      <w:pPr>
        <w:spacing w:line="109" w:lineRule="auto"/>
        <w:jc w:val="both"/>
        <w:rPr>
          <w:rFonts w:ascii="Gotham Light" w:eastAsia="Garamond" w:hAnsi="Gotham Light" w:cs="Garamond"/>
          <w:sz w:val="20"/>
          <w:szCs w:val="20"/>
        </w:rPr>
      </w:pPr>
    </w:p>
    <w:p w14:paraId="4B4E3613" w14:textId="65435B56" w:rsidR="00C446AA" w:rsidRDefault="00C446AA" w:rsidP="00851F44">
      <w:pPr>
        <w:spacing w:line="109" w:lineRule="auto"/>
        <w:jc w:val="both"/>
        <w:rPr>
          <w:rFonts w:ascii="Gotham Light" w:eastAsia="Garamond" w:hAnsi="Gotham Light" w:cs="Garamond"/>
          <w:sz w:val="20"/>
          <w:szCs w:val="20"/>
        </w:rPr>
      </w:pPr>
    </w:p>
    <w:p w14:paraId="64CDD155" w14:textId="2FE442BA" w:rsidR="00742AFF" w:rsidRPr="009E526D" w:rsidRDefault="009377E1" w:rsidP="009F1DAA">
      <w:pPr>
        <w:pStyle w:val="Titolo1"/>
        <w:numPr>
          <w:ilvl w:val="0"/>
          <w:numId w:val="1"/>
        </w:numPr>
        <w:spacing w:before="120" w:after="120" w:line="240" w:lineRule="auto"/>
        <w:ind w:left="0" w:firstLine="0"/>
        <w:rPr>
          <w:rFonts w:ascii="Garamond" w:hAnsi="Garamond"/>
          <w:bCs w:val="0"/>
          <w:color w:val="00B0F0"/>
          <w:sz w:val="22"/>
          <w:szCs w:val="22"/>
          <w:lang w:eastAsia="it-IT"/>
        </w:rPr>
      </w:pPr>
      <w:bookmarkStart w:id="6" w:name="_Toc875883"/>
      <w:r w:rsidRPr="009E526D">
        <w:rPr>
          <w:rFonts w:ascii="Garamond" w:hAnsi="Garamond"/>
          <w:bCs w:val="0"/>
          <w:color w:val="00B0F0"/>
          <w:sz w:val="22"/>
          <w:szCs w:val="22"/>
          <w:lang w:eastAsia="it-IT"/>
        </w:rPr>
        <w:lastRenderedPageBreak/>
        <w:t>Generalità</w:t>
      </w:r>
      <w:bookmarkEnd w:id="6"/>
    </w:p>
    <w:p w14:paraId="0D768E93" w14:textId="72CA9D99" w:rsidR="009E4A24" w:rsidRPr="009E526D" w:rsidRDefault="003B2957" w:rsidP="009F1DAA">
      <w:pPr>
        <w:pStyle w:val="Titolo2"/>
        <w:spacing w:before="120" w:after="120" w:line="240" w:lineRule="auto"/>
        <w:rPr>
          <w:rFonts w:ascii="Garamond" w:hAnsi="Garamond"/>
          <w:bCs w:val="0"/>
          <w:color w:val="00B0F0"/>
          <w:sz w:val="22"/>
          <w:szCs w:val="22"/>
          <w:lang w:eastAsia="it-IT"/>
        </w:rPr>
      </w:pPr>
      <w:bookmarkStart w:id="7" w:name="_Toc875884"/>
      <w:r w:rsidRPr="009E526D">
        <w:rPr>
          <w:rFonts w:ascii="Garamond" w:hAnsi="Garamond"/>
          <w:bCs w:val="0"/>
          <w:color w:val="00B0F0"/>
          <w:sz w:val="22"/>
          <w:szCs w:val="22"/>
          <w:lang w:eastAsia="it-IT"/>
        </w:rPr>
        <w:t xml:space="preserve">4.1 </w:t>
      </w:r>
      <w:r w:rsidR="009E4A24" w:rsidRPr="009E526D">
        <w:rPr>
          <w:rFonts w:ascii="Garamond" w:hAnsi="Garamond"/>
          <w:bCs w:val="0"/>
          <w:color w:val="00B0F0"/>
          <w:sz w:val="22"/>
          <w:szCs w:val="22"/>
          <w:lang w:eastAsia="it-IT"/>
        </w:rPr>
        <w:t>Risk-Based Thinking</w:t>
      </w:r>
      <w:bookmarkEnd w:id="7"/>
      <w:r w:rsidR="009E4A24" w:rsidRPr="009E526D">
        <w:rPr>
          <w:rFonts w:ascii="Garamond" w:hAnsi="Garamond"/>
          <w:bCs w:val="0"/>
          <w:color w:val="00B0F0"/>
          <w:sz w:val="22"/>
          <w:szCs w:val="22"/>
          <w:lang w:eastAsia="it-IT"/>
        </w:rPr>
        <w:t xml:space="preserve"> </w:t>
      </w:r>
    </w:p>
    <w:p w14:paraId="3668957B" w14:textId="2405CC2D" w:rsidR="009E4A24" w:rsidRPr="009F1DAA" w:rsidRDefault="009E4A24" w:rsidP="009E526D">
      <w:pPr>
        <w:spacing w:after="0" w:line="240" w:lineRule="auto"/>
        <w:jc w:val="both"/>
        <w:rPr>
          <w:rFonts w:ascii="Garamond" w:eastAsia="Garamond" w:hAnsi="Garamond" w:cs="Garamond"/>
          <w:sz w:val="20"/>
          <w:szCs w:val="20"/>
        </w:rPr>
      </w:pPr>
      <w:r w:rsidRPr="009F1DAA">
        <w:rPr>
          <w:rFonts w:ascii="Garamond" w:eastAsia="Garamond" w:hAnsi="Garamond" w:cs="Garamond"/>
          <w:sz w:val="20"/>
          <w:szCs w:val="20"/>
        </w:rPr>
        <w:t>Il concetto di risk-based thinking è stato esplicitato nella ISO 9001 ed. 2015 ed è stato riportato nella UNI ISO 37001:2016.</w:t>
      </w:r>
    </w:p>
    <w:p w14:paraId="2F35BA6D" w14:textId="7CF01426" w:rsidR="009E4A24" w:rsidRPr="009F1DAA" w:rsidRDefault="009E4A24" w:rsidP="009E526D">
      <w:pPr>
        <w:spacing w:after="0" w:line="240" w:lineRule="auto"/>
        <w:jc w:val="both"/>
        <w:rPr>
          <w:rFonts w:ascii="Garamond" w:eastAsia="Garamond" w:hAnsi="Garamond" w:cs="Garamond"/>
          <w:sz w:val="20"/>
          <w:szCs w:val="20"/>
        </w:rPr>
      </w:pPr>
      <w:r w:rsidRPr="009F1DAA">
        <w:rPr>
          <w:rFonts w:ascii="Garamond" w:eastAsia="Garamond" w:hAnsi="Garamond" w:cs="Garamond"/>
          <w:sz w:val="20"/>
          <w:szCs w:val="20"/>
        </w:rPr>
        <w:t xml:space="preserve">La norma UNI ISO 37001:2016 specifica i requisiti che richiedono a </w:t>
      </w:r>
      <w:r w:rsidR="00017FD6">
        <w:rPr>
          <w:rFonts w:ascii="Garamond" w:hAnsi="Garamond"/>
          <w:b/>
        </w:rPr>
        <w:t>ASP</w:t>
      </w:r>
      <w:r w:rsidR="00017FD6" w:rsidRPr="009F1DAA">
        <w:rPr>
          <w:rFonts w:ascii="Garamond" w:eastAsia="Garamond" w:hAnsi="Garamond" w:cs="Garamond"/>
          <w:sz w:val="20"/>
          <w:szCs w:val="20"/>
        </w:rPr>
        <w:t xml:space="preserve"> </w:t>
      </w:r>
      <w:r w:rsidRPr="009F1DAA">
        <w:rPr>
          <w:rFonts w:ascii="Garamond" w:eastAsia="Garamond" w:hAnsi="Garamond" w:cs="Garamond"/>
          <w:sz w:val="20"/>
          <w:szCs w:val="20"/>
        </w:rPr>
        <w:t>di comprendere il proprio contesto e di determinare i rischi, come base per la pianificazione. Ciò rappresenta l'applicazione del risk-based thinking per pianificare e attuare i processi del sistema di gestione per la prevenzione della corruzione.</w:t>
      </w:r>
    </w:p>
    <w:p w14:paraId="4BB6F169" w14:textId="77777777" w:rsidR="009E4A24" w:rsidRPr="009F1DAA" w:rsidRDefault="009E4A24" w:rsidP="009E526D">
      <w:pPr>
        <w:spacing w:after="0" w:line="240" w:lineRule="auto"/>
        <w:jc w:val="both"/>
        <w:rPr>
          <w:rFonts w:ascii="Garamond" w:eastAsia="Garamond" w:hAnsi="Garamond" w:cs="Garamond"/>
          <w:sz w:val="20"/>
          <w:szCs w:val="20"/>
        </w:rPr>
      </w:pPr>
      <w:r w:rsidRPr="009F1DAA">
        <w:rPr>
          <w:rFonts w:ascii="Garamond" w:eastAsia="Garamond" w:hAnsi="Garamond" w:cs="Garamond"/>
          <w:sz w:val="20"/>
          <w:szCs w:val="20"/>
        </w:rPr>
        <w:t>Nel pianificare, e gestire nel tempo, il sistema di gestione per la prevenzione della corruzione, l’Organizzazione deve determinare i rischi e le opportunità che è necessario affrontare per:</w:t>
      </w:r>
    </w:p>
    <w:p w14:paraId="0487EC1E" w14:textId="32287B7D" w:rsidR="009E4A24" w:rsidRPr="009F1DAA" w:rsidRDefault="009F1DAA" w:rsidP="009E526D">
      <w:pPr>
        <w:spacing w:after="0" w:line="240" w:lineRule="auto"/>
        <w:jc w:val="both"/>
        <w:rPr>
          <w:rFonts w:ascii="Garamond" w:hAnsi="Garamond"/>
          <w:i/>
          <w:sz w:val="20"/>
          <w:szCs w:val="20"/>
        </w:rPr>
      </w:pPr>
      <w:r w:rsidRPr="009F1DAA">
        <w:rPr>
          <w:rFonts w:ascii="Garamond" w:eastAsia="Garamond" w:hAnsi="Garamond" w:cs="Garamond"/>
          <w:i/>
          <w:sz w:val="20"/>
          <w:szCs w:val="20"/>
        </w:rPr>
        <w:t>-</w:t>
      </w:r>
      <w:r>
        <w:rPr>
          <w:rFonts w:ascii="Garamond" w:eastAsia="Garamond" w:hAnsi="Garamond" w:cs="Garamond"/>
          <w:i/>
          <w:sz w:val="20"/>
          <w:szCs w:val="20"/>
        </w:rPr>
        <w:t xml:space="preserve"> </w:t>
      </w:r>
      <w:r w:rsidR="009E4A24" w:rsidRPr="009F1DAA">
        <w:rPr>
          <w:rFonts w:ascii="Garamond" w:eastAsia="Garamond" w:hAnsi="Garamond" w:cs="Garamond"/>
          <w:i/>
          <w:sz w:val="20"/>
          <w:szCs w:val="20"/>
        </w:rPr>
        <w:t>fornire assicurazione che il sistema di gestione per la prevenzione della corruzione possa conseguire i risultati attesi;</w:t>
      </w:r>
    </w:p>
    <w:p w14:paraId="6D79FE1B" w14:textId="4D6690E6" w:rsidR="009E4A24" w:rsidRPr="009F1DAA" w:rsidRDefault="009F1DAA" w:rsidP="009E526D">
      <w:pPr>
        <w:pBdr>
          <w:top w:val="nil"/>
          <w:left w:val="nil"/>
          <w:bottom w:val="nil"/>
          <w:right w:val="nil"/>
          <w:between w:val="nil"/>
        </w:pBdr>
        <w:spacing w:after="0" w:line="240" w:lineRule="auto"/>
        <w:jc w:val="both"/>
        <w:rPr>
          <w:rFonts w:ascii="Garamond" w:eastAsia="Garamond" w:hAnsi="Garamond" w:cs="Garamond"/>
          <w:i/>
          <w:sz w:val="20"/>
          <w:szCs w:val="20"/>
        </w:rPr>
      </w:pPr>
      <w:r>
        <w:rPr>
          <w:rFonts w:ascii="Garamond" w:eastAsia="Garamond" w:hAnsi="Garamond" w:cs="Garamond"/>
          <w:i/>
          <w:sz w:val="20"/>
          <w:szCs w:val="20"/>
        </w:rPr>
        <w:t xml:space="preserve">- </w:t>
      </w:r>
      <w:r w:rsidR="009E4A24" w:rsidRPr="009F1DAA">
        <w:rPr>
          <w:rFonts w:ascii="Garamond" w:eastAsia="Garamond" w:hAnsi="Garamond" w:cs="Garamond"/>
          <w:i/>
          <w:sz w:val="20"/>
          <w:szCs w:val="20"/>
        </w:rPr>
        <w:t>accrescere e/o rendere solidi gli effetti desiderati;</w:t>
      </w:r>
    </w:p>
    <w:p w14:paraId="7C164F63" w14:textId="63D0E4F6" w:rsidR="009E4A24" w:rsidRPr="009F1DAA" w:rsidRDefault="009F1DAA" w:rsidP="009E526D">
      <w:pPr>
        <w:pBdr>
          <w:top w:val="nil"/>
          <w:left w:val="nil"/>
          <w:bottom w:val="nil"/>
          <w:right w:val="nil"/>
          <w:between w:val="nil"/>
        </w:pBdr>
        <w:spacing w:after="0" w:line="240" w:lineRule="auto"/>
        <w:jc w:val="both"/>
        <w:rPr>
          <w:rFonts w:ascii="Garamond" w:eastAsia="Garamond" w:hAnsi="Garamond" w:cs="Garamond"/>
          <w:i/>
          <w:sz w:val="20"/>
          <w:szCs w:val="20"/>
        </w:rPr>
      </w:pPr>
      <w:r>
        <w:rPr>
          <w:rFonts w:ascii="Garamond" w:eastAsia="Garamond" w:hAnsi="Garamond" w:cs="Garamond"/>
          <w:i/>
          <w:sz w:val="20"/>
          <w:szCs w:val="20"/>
        </w:rPr>
        <w:t xml:space="preserve">- </w:t>
      </w:r>
      <w:r w:rsidR="009E4A24" w:rsidRPr="009F1DAA">
        <w:rPr>
          <w:rFonts w:ascii="Garamond" w:eastAsia="Garamond" w:hAnsi="Garamond" w:cs="Garamond"/>
          <w:i/>
          <w:sz w:val="20"/>
          <w:szCs w:val="20"/>
        </w:rPr>
        <w:t>prevenire, o ridurre, gli effetti indesiderati;</w:t>
      </w:r>
    </w:p>
    <w:p w14:paraId="7EF07349" w14:textId="72551FC2" w:rsidR="009E4A24" w:rsidRPr="009F1DAA" w:rsidRDefault="009F1DAA" w:rsidP="009E526D">
      <w:pPr>
        <w:pBdr>
          <w:top w:val="nil"/>
          <w:left w:val="nil"/>
          <w:bottom w:val="nil"/>
          <w:right w:val="nil"/>
          <w:between w:val="nil"/>
        </w:pBdr>
        <w:spacing w:after="0" w:line="240" w:lineRule="auto"/>
        <w:jc w:val="both"/>
        <w:rPr>
          <w:rFonts w:ascii="Garamond" w:eastAsia="Garamond" w:hAnsi="Garamond" w:cs="Garamond"/>
          <w:i/>
          <w:sz w:val="20"/>
          <w:szCs w:val="20"/>
        </w:rPr>
      </w:pPr>
      <w:r>
        <w:rPr>
          <w:rFonts w:ascii="Garamond" w:eastAsia="Garamond" w:hAnsi="Garamond" w:cs="Garamond"/>
          <w:i/>
          <w:sz w:val="20"/>
          <w:szCs w:val="20"/>
        </w:rPr>
        <w:t xml:space="preserve">- </w:t>
      </w:r>
      <w:r w:rsidR="009E4A24" w:rsidRPr="009F1DAA">
        <w:rPr>
          <w:rFonts w:ascii="Garamond" w:eastAsia="Garamond" w:hAnsi="Garamond" w:cs="Garamond"/>
          <w:i/>
          <w:sz w:val="20"/>
          <w:szCs w:val="20"/>
        </w:rPr>
        <w:t>conseguire il miglioramento.</w:t>
      </w:r>
    </w:p>
    <w:p w14:paraId="79B84FFE" w14:textId="30FE5FC8" w:rsidR="009E4A24" w:rsidRPr="009F1DAA" w:rsidRDefault="00017FD6" w:rsidP="009F1DAA">
      <w:pPr>
        <w:spacing w:after="0" w:line="240" w:lineRule="auto"/>
        <w:jc w:val="both"/>
        <w:rPr>
          <w:rFonts w:ascii="Garamond" w:eastAsia="Garamond" w:hAnsi="Garamond" w:cs="Garamond"/>
          <w:sz w:val="20"/>
          <w:szCs w:val="20"/>
        </w:rPr>
      </w:pPr>
      <w:r>
        <w:rPr>
          <w:rFonts w:ascii="Garamond" w:hAnsi="Garamond"/>
          <w:b/>
        </w:rPr>
        <w:t>ASP</w:t>
      </w:r>
      <w:r w:rsidRPr="009F1DAA">
        <w:rPr>
          <w:rFonts w:ascii="Garamond" w:eastAsia="Garamond" w:hAnsi="Garamond" w:cs="Garamond"/>
          <w:sz w:val="20"/>
          <w:szCs w:val="20"/>
        </w:rPr>
        <w:t xml:space="preserve"> </w:t>
      </w:r>
      <w:r w:rsidR="009E4A24" w:rsidRPr="009F1DAA">
        <w:rPr>
          <w:rFonts w:ascii="Garamond" w:eastAsia="Garamond" w:hAnsi="Garamond" w:cs="Garamond"/>
          <w:sz w:val="20"/>
          <w:szCs w:val="20"/>
        </w:rPr>
        <w:t xml:space="preserve">deve pianificare: </w:t>
      </w:r>
    </w:p>
    <w:p w14:paraId="2EE1AA4D" w14:textId="5FB034AF" w:rsidR="009E4A24" w:rsidRPr="009F1DAA" w:rsidRDefault="009F1DAA" w:rsidP="009F1DAA">
      <w:pPr>
        <w:pBdr>
          <w:top w:val="nil"/>
          <w:left w:val="nil"/>
          <w:bottom w:val="nil"/>
          <w:right w:val="nil"/>
          <w:between w:val="nil"/>
        </w:pBdr>
        <w:spacing w:after="0" w:line="240" w:lineRule="auto"/>
        <w:jc w:val="both"/>
        <w:rPr>
          <w:rFonts w:ascii="Garamond" w:eastAsia="Garamond" w:hAnsi="Garamond" w:cs="Garamond"/>
          <w:sz w:val="20"/>
          <w:szCs w:val="20"/>
        </w:rPr>
      </w:pPr>
      <w:r w:rsidRPr="009F1DAA">
        <w:rPr>
          <w:rFonts w:ascii="Garamond" w:eastAsia="Garamond" w:hAnsi="Garamond" w:cs="Garamond"/>
          <w:sz w:val="20"/>
          <w:szCs w:val="20"/>
        </w:rPr>
        <w:t>-</w:t>
      </w:r>
      <w:r>
        <w:rPr>
          <w:rFonts w:ascii="Garamond" w:eastAsia="Garamond" w:hAnsi="Garamond" w:cs="Garamond"/>
          <w:sz w:val="20"/>
          <w:szCs w:val="20"/>
        </w:rPr>
        <w:t xml:space="preserve"> </w:t>
      </w:r>
      <w:r w:rsidR="009E4A24" w:rsidRPr="009F1DAA">
        <w:rPr>
          <w:rFonts w:ascii="Garamond" w:eastAsia="Garamond" w:hAnsi="Garamond" w:cs="Garamond"/>
          <w:sz w:val="20"/>
          <w:szCs w:val="20"/>
        </w:rPr>
        <w:t>le azioni per affrontare questi rischi e opportunità;</w:t>
      </w:r>
    </w:p>
    <w:p w14:paraId="224F1C86" w14:textId="57ABDFE8" w:rsidR="009E4A24" w:rsidRPr="009F1DAA" w:rsidRDefault="009F1DAA" w:rsidP="009F1DAA">
      <w:pPr>
        <w:pBdr>
          <w:top w:val="nil"/>
          <w:left w:val="nil"/>
          <w:bottom w:val="nil"/>
          <w:right w:val="nil"/>
          <w:between w:val="nil"/>
        </w:pBdr>
        <w:spacing w:after="0" w:line="240" w:lineRule="auto"/>
        <w:jc w:val="both"/>
        <w:rPr>
          <w:rFonts w:ascii="Garamond" w:eastAsia="Garamond" w:hAnsi="Garamond" w:cs="Garamond"/>
          <w:sz w:val="20"/>
          <w:szCs w:val="20"/>
        </w:rPr>
      </w:pPr>
      <w:r>
        <w:rPr>
          <w:rFonts w:ascii="Garamond" w:eastAsia="Garamond" w:hAnsi="Garamond" w:cs="Garamond"/>
          <w:sz w:val="20"/>
          <w:szCs w:val="20"/>
        </w:rPr>
        <w:t xml:space="preserve">- </w:t>
      </w:r>
      <w:r w:rsidR="009E4A24" w:rsidRPr="009F1DAA">
        <w:rPr>
          <w:rFonts w:ascii="Garamond" w:eastAsia="Garamond" w:hAnsi="Garamond" w:cs="Garamond"/>
          <w:sz w:val="20"/>
          <w:szCs w:val="20"/>
        </w:rPr>
        <w:t>le modalità per:</w:t>
      </w:r>
    </w:p>
    <w:p w14:paraId="10F882BF" w14:textId="2AEAAB75" w:rsidR="009E4A24" w:rsidRPr="009E526D" w:rsidRDefault="009E4A24" w:rsidP="00E6510F">
      <w:pPr>
        <w:pStyle w:val="Paragrafoelenco"/>
        <w:numPr>
          <w:ilvl w:val="0"/>
          <w:numId w:val="4"/>
        </w:numPr>
        <w:pBdr>
          <w:top w:val="nil"/>
          <w:left w:val="nil"/>
          <w:bottom w:val="nil"/>
          <w:right w:val="nil"/>
          <w:between w:val="nil"/>
        </w:pBdr>
        <w:spacing w:after="0" w:line="240" w:lineRule="auto"/>
        <w:jc w:val="both"/>
        <w:rPr>
          <w:rFonts w:ascii="Garamond" w:eastAsia="Garamond" w:hAnsi="Garamond" w:cs="Garamond"/>
          <w:i/>
          <w:sz w:val="20"/>
          <w:szCs w:val="20"/>
        </w:rPr>
      </w:pPr>
      <w:r w:rsidRPr="009E526D">
        <w:rPr>
          <w:rFonts w:ascii="Garamond" w:eastAsia="Garamond" w:hAnsi="Garamond" w:cs="Garamond"/>
          <w:i/>
          <w:sz w:val="20"/>
          <w:szCs w:val="20"/>
        </w:rPr>
        <w:t>integrare e attuare le azioni nei processi del proprio sistema di gestione per la prevenzione della corruzione;</w:t>
      </w:r>
    </w:p>
    <w:p w14:paraId="28BC9F85" w14:textId="7766906D" w:rsidR="009E4A24" w:rsidRPr="009E526D" w:rsidRDefault="009E4A24" w:rsidP="00E6510F">
      <w:pPr>
        <w:pStyle w:val="Paragrafoelenco"/>
        <w:numPr>
          <w:ilvl w:val="0"/>
          <w:numId w:val="4"/>
        </w:numPr>
        <w:pBdr>
          <w:top w:val="nil"/>
          <w:left w:val="nil"/>
          <w:bottom w:val="nil"/>
          <w:right w:val="nil"/>
          <w:between w:val="nil"/>
        </w:pBdr>
        <w:spacing w:after="0" w:line="240" w:lineRule="auto"/>
        <w:jc w:val="both"/>
        <w:rPr>
          <w:rFonts w:ascii="Garamond" w:eastAsia="Garamond" w:hAnsi="Garamond" w:cs="Garamond"/>
          <w:i/>
          <w:sz w:val="20"/>
          <w:szCs w:val="20"/>
        </w:rPr>
      </w:pPr>
      <w:r w:rsidRPr="009E526D">
        <w:rPr>
          <w:rFonts w:ascii="Garamond" w:eastAsia="Garamond" w:hAnsi="Garamond" w:cs="Garamond"/>
          <w:i/>
          <w:sz w:val="20"/>
          <w:szCs w:val="20"/>
        </w:rPr>
        <w:t>valutare l'efficacia di tali azioni.</w:t>
      </w:r>
    </w:p>
    <w:p w14:paraId="323E4E2B" w14:textId="77777777" w:rsidR="009E4A24" w:rsidRPr="009F1DAA" w:rsidRDefault="009E4A24" w:rsidP="009F1DAA">
      <w:pPr>
        <w:spacing w:after="0" w:line="240" w:lineRule="auto"/>
        <w:jc w:val="both"/>
        <w:rPr>
          <w:rFonts w:ascii="Garamond" w:eastAsia="Garamond" w:hAnsi="Garamond" w:cs="Garamond"/>
          <w:sz w:val="20"/>
          <w:szCs w:val="20"/>
        </w:rPr>
      </w:pPr>
      <w:r w:rsidRPr="009F1DAA">
        <w:rPr>
          <w:rFonts w:ascii="Garamond" w:eastAsia="Garamond" w:hAnsi="Garamond" w:cs="Garamond"/>
          <w:sz w:val="20"/>
          <w:szCs w:val="20"/>
        </w:rPr>
        <w:t xml:space="preserve">Le azioni intraprese per affrontare i rischi e le opportunità devono essere proporzionate all'impatto potenziale sulla conformità dell’erogazione dei servizi. </w:t>
      </w:r>
    </w:p>
    <w:p w14:paraId="332EF50B" w14:textId="5BABA8C7" w:rsidR="006443CE" w:rsidRPr="009E526D" w:rsidRDefault="005E059D" w:rsidP="009E526D">
      <w:pPr>
        <w:pStyle w:val="Titolo2"/>
        <w:spacing w:before="120" w:after="120" w:line="240" w:lineRule="auto"/>
        <w:rPr>
          <w:rFonts w:ascii="Garamond" w:hAnsi="Garamond"/>
          <w:bCs w:val="0"/>
          <w:color w:val="00B0F0"/>
          <w:sz w:val="22"/>
          <w:szCs w:val="22"/>
          <w:lang w:eastAsia="it-IT"/>
        </w:rPr>
      </w:pPr>
      <w:bookmarkStart w:id="8" w:name="_Toc875885"/>
      <w:r w:rsidRPr="009E526D">
        <w:rPr>
          <w:rFonts w:ascii="Garamond" w:hAnsi="Garamond"/>
          <w:bCs w:val="0"/>
          <w:color w:val="00B0F0"/>
          <w:sz w:val="22"/>
          <w:szCs w:val="22"/>
          <w:lang w:eastAsia="it-IT"/>
        </w:rPr>
        <w:t>4.2 Principi generali della valutazione dei rischi</w:t>
      </w:r>
      <w:bookmarkEnd w:id="8"/>
    </w:p>
    <w:p w14:paraId="3682B58F" w14:textId="77777777" w:rsidR="005E059D" w:rsidRPr="009E526D" w:rsidRDefault="005E059D" w:rsidP="009E526D">
      <w:pPr>
        <w:pStyle w:val="Paragrafoelenco"/>
        <w:spacing w:after="0" w:line="240" w:lineRule="auto"/>
        <w:ind w:left="0"/>
        <w:jc w:val="both"/>
        <w:rPr>
          <w:rFonts w:ascii="Garamond" w:eastAsia="Garamond" w:hAnsi="Garamond" w:cs="Garamond"/>
          <w:sz w:val="20"/>
          <w:szCs w:val="20"/>
        </w:rPr>
      </w:pPr>
      <w:r w:rsidRPr="009E526D">
        <w:rPr>
          <w:rFonts w:ascii="Garamond" w:eastAsia="Garamond" w:hAnsi="Garamond" w:cs="Garamond"/>
          <w:sz w:val="20"/>
          <w:szCs w:val="20"/>
        </w:rPr>
        <w:t>Per far sì che la gestione del rischio sia efficace, l'organizzazione si impegna, a tutti i livelli, a seguire i seguenti principi: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6"/>
        <w:gridCol w:w="6106"/>
        <w:gridCol w:w="38"/>
      </w:tblGrid>
      <w:tr w:rsidR="00C93954" w:rsidRPr="009E526D" w14:paraId="732053CD" w14:textId="77777777" w:rsidTr="009E526D">
        <w:trPr>
          <w:gridAfter w:val="1"/>
          <w:wAfter w:w="21" w:type="pct"/>
          <w:trHeight w:val="126"/>
          <w:jc w:val="center"/>
        </w:trPr>
        <w:tc>
          <w:tcPr>
            <w:tcW w:w="4979" w:type="pct"/>
            <w:gridSpan w:val="2"/>
            <w:shd w:val="clear" w:color="auto" w:fill="830D28"/>
            <w:tcMar>
              <w:top w:w="100" w:type="dxa"/>
              <w:left w:w="100" w:type="dxa"/>
              <w:bottom w:w="100" w:type="dxa"/>
              <w:right w:w="100" w:type="dxa"/>
            </w:tcMar>
            <w:vAlign w:val="center"/>
          </w:tcPr>
          <w:p w14:paraId="56FE416A" w14:textId="580FD6EE" w:rsidR="00C93954" w:rsidRPr="009E526D" w:rsidRDefault="00C93954" w:rsidP="009E526D">
            <w:pPr>
              <w:spacing w:after="0" w:line="240" w:lineRule="auto"/>
              <w:jc w:val="both"/>
              <w:rPr>
                <w:rFonts w:ascii="Garamond" w:eastAsia="Garamond" w:hAnsi="Garamond" w:cs="Garamond"/>
                <w:sz w:val="18"/>
                <w:szCs w:val="18"/>
              </w:rPr>
            </w:pPr>
            <w:r w:rsidRPr="009E526D">
              <w:rPr>
                <w:rFonts w:ascii="Garamond" w:eastAsia="Garamond" w:hAnsi="Garamond" w:cs="Garamond"/>
                <w:b/>
                <w:color w:val="FFFFFF" w:themeColor="background1"/>
                <w:sz w:val="18"/>
                <w:szCs w:val="18"/>
              </w:rPr>
              <w:t>Principi generali della Valutazione dei Rischi</w:t>
            </w:r>
          </w:p>
        </w:tc>
      </w:tr>
      <w:tr w:rsidR="00C93954" w:rsidRPr="009E526D" w14:paraId="157ABAFC" w14:textId="77777777" w:rsidTr="009E526D">
        <w:trPr>
          <w:gridAfter w:val="1"/>
          <w:wAfter w:w="21" w:type="pct"/>
          <w:jc w:val="center"/>
        </w:trPr>
        <w:tc>
          <w:tcPr>
            <w:tcW w:w="1639" w:type="pct"/>
            <w:shd w:val="clear" w:color="auto" w:fill="830D28"/>
            <w:tcMar>
              <w:top w:w="100" w:type="dxa"/>
              <w:left w:w="100" w:type="dxa"/>
              <w:bottom w:w="100" w:type="dxa"/>
              <w:right w:w="100" w:type="dxa"/>
            </w:tcMar>
            <w:vAlign w:val="center"/>
          </w:tcPr>
          <w:p w14:paraId="42436013" w14:textId="1577836D" w:rsidR="00C93954" w:rsidRPr="009E526D" w:rsidRDefault="00C93954" w:rsidP="009E526D">
            <w:pPr>
              <w:spacing w:after="0" w:line="240" w:lineRule="auto"/>
              <w:jc w:val="center"/>
              <w:rPr>
                <w:rFonts w:ascii="Garamond" w:hAnsi="Garamond"/>
                <w:b/>
                <w:color w:val="662160"/>
                <w:sz w:val="18"/>
                <w:szCs w:val="18"/>
              </w:rPr>
            </w:pPr>
            <w:r w:rsidRPr="009E526D">
              <w:rPr>
                <w:rFonts w:ascii="Garamond" w:eastAsia="Garamond" w:hAnsi="Garamond" w:cs="Garamond"/>
                <w:b/>
                <w:color w:val="FFFFFF" w:themeColor="background1"/>
                <w:sz w:val="18"/>
                <w:szCs w:val="18"/>
              </w:rPr>
              <w:t>La gestione del rischio crea e protegge il valore</w:t>
            </w:r>
          </w:p>
        </w:tc>
        <w:tc>
          <w:tcPr>
            <w:tcW w:w="3340" w:type="pct"/>
            <w:shd w:val="clear" w:color="auto" w:fill="auto"/>
            <w:tcMar>
              <w:top w:w="100" w:type="dxa"/>
              <w:left w:w="100" w:type="dxa"/>
              <w:bottom w:w="100" w:type="dxa"/>
              <w:right w:w="100" w:type="dxa"/>
            </w:tcMar>
          </w:tcPr>
          <w:p w14:paraId="267FF22F" w14:textId="58E71CE1"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La gestione del rischio contribuisce in maniera dimostrabile al raggiungimento degli obiettivi ed al miglioramento della prestazione, rispetto dei requisiti cogenti, consenso presso l’opinione pubblica, protezione dell’ambiente, qualità del prodotto, gestione dei progetti</w:t>
            </w:r>
            <w:r w:rsidR="004C45E3">
              <w:rPr>
                <w:rFonts w:ascii="Garamond" w:eastAsia="Garamond" w:hAnsi="Garamond" w:cs="Garamond"/>
                <w:sz w:val="18"/>
                <w:szCs w:val="18"/>
              </w:rPr>
              <w:t xml:space="preserve">, efficienza nelle operazioni, </w:t>
            </w:r>
            <w:r w:rsidRPr="009E526D">
              <w:rPr>
                <w:rFonts w:ascii="Garamond" w:eastAsia="Garamond" w:hAnsi="Garamond" w:cs="Garamond"/>
                <w:sz w:val="18"/>
                <w:szCs w:val="18"/>
              </w:rPr>
              <w:t>governance e reputazione.</w:t>
            </w:r>
          </w:p>
        </w:tc>
      </w:tr>
      <w:tr w:rsidR="00C93954" w:rsidRPr="009E526D" w14:paraId="03AF8F5F" w14:textId="77777777" w:rsidTr="009E526D">
        <w:trPr>
          <w:gridAfter w:val="1"/>
          <w:wAfter w:w="21" w:type="pct"/>
          <w:jc w:val="center"/>
        </w:trPr>
        <w:tc>
          <w:tcPr>
            <w:tcW w:w="1639" w:type="pct"/>
            <w:tcBorders>
              <w:bottom w:val="single" w:sz="4" w:space="0" w:color="auto"/>
            </w:tcBorders>
            <w:shd w:val="clear" w:color="auto" w:fill="830D28"/>
            <w:tcMar>
              <w:top w:w="100" w:type="dxa"/>
              <w:left w:w="100" w:type="dxa"/>
              <w:bottom w:w="100" w:type="dxa"/>
              <w:right w:w="100" w:type="dxa"/>
            </w:tcMar>
            <w:vAlign w:val="center"/>
          </w:tcPr>
          <w:p w14:paraId="42CBD686" w14:textId="5F6DBA50" w:rsidR="00C93954" w:rsidRPr="009E526D" w:rsidRDefault="00C93954" w:rsidP="009E526D">
            <w:pPr>
              <w:spacing w:after="0" w:line="240" w:lineRule="auto"/>
              <w:jc w:val="center"/>
              <w:rPr>
                <w:rFonts w:ascii="Garamond" w:hAnsi="Garamond"/>
                <w:b/>
                <w:color w:val="FFFFFF"/>
                <w:sz w:val="18"/>
                <w:szCs w:val="18"/>
              </w:rPr>
            </w:pPr>
            <w:r w:rsidRPr="009E526D">
              <w:rPr>
                <w:rFonts w:ascii="Garamond" w:eastAsia="Garamond" w:hAnsi="Garamond" w:cs="Garamond"/>
                <w:b/>
                <w:color w:val="FFFFFF" w:themeColor="background1"/>
                <w:sz w:val="18"/>
                <w:szCs w:val="18"/>
              </w:rPr>
              <w:t>La gestione del rischio è parte integrante di tutti i processi dell’organizzazione</w:t>
            </w:r>
          </w:p>
        </w:tc>
        <w:tc>
          <w:tcPr>
            <w:tcW w:w="3340" w:type="pct"/>
            <w:shd w:val="clear" w:color="auto" w:fill="auto"/>
            <w:tcMar>
              <w:top w:w="100" w:type="dxa"/>
              <w:left w:w="100" w:type="dxa"/>
              <w:bottom w:w="100" w:type="dxa"/>
              <w:right w:w="100" w:type="dxa"/>
            </w:tcMar>
          </w:tcPr>
          <w:p w14:paraId="79959E28" w14:textId="4B1EC692" w:rsidR="00C93954" w:rsidRPr="009E526D" w:rsidRDefault="00C93954"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 xml:space="preserve">La gestione del rischio non è un’attività indipendente, separata dalle attività e dai processi principali dell’organizzazione. </w:t>
            </w:r>
          </w:p>
          <w:p w14:paraId="7393AF0E" w14:textId="34D192A8"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La gestione del rischio fa pa</w:t>
            </w:r>
            <w:r w:rsidR="004C45E3">
              <w:rPr>
                <w:rFonts w:ascii="Garamond" w:eastAsia="Garamond" w:hAnsi="Garamond" w:cs="Garamond"/>
                <w:sz w:val="18"/>
                <w:szCs w:val="18"/>
              </w:rPr>
              <w:t xml:space="preserve">rte delle responsabilità della </w:t>
            </w:r>
            <w:r w:rsidRPr="009E526D">
              <w:rPr>
                <w:rFonts w:ascii="Garamond" w:eastAsia="Garamond" w:hAnsi="Garamond" w:cs="Garamond"/>
                <w:sz w:val="18"/>
                <w:szCs w:val="18"/>
              </w:rPr>
              <w:t>Direzione ed è parte integrante di tutti i processi dell’organizzazione, inclusi la pianificazione strategica e tutti i processi di gestione dei progetti e del cambiamento.</w:t>
            </w:r>
          </w:p>
        </w:tc>
      </w:tr>
      <w:tr w:rsidR="00C93954" w:rsidRPr="009E526D" w14:paraId="1715918B" w14:textId="77777777" w:rsidTr="009E526D">
        <w:trPr>
          <w:gridAfter w:val="1"/>
          <w:wAfter w:w="21" w:type="pct"/>
          <w:jc w:val="center"/>
        </w:trPr>
        <w:tc>
          <w:tcPr>
            <w:tcW w:w="1639" w:type="pct"/>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vAlign w:val="center"/>
          </w:tcPr>
          <w:p w14:paraId="10BE0117" w14:textId="791A7567" w:rsidR="00C93954" w:rsidRPr="009E526D" w:rsidRDefault="00C93954" w:rsidP="009E526D">
            <w:pPr>
              <w:spacing w:after="0" w:line="240" w:lineRule="auto"/>
              <w:jc w:val="center"/>
              <w:rPr>
                <w:rFonts w:ascii="Garamond" w:hAnsi="Garamond"/>
                <w:b/>
                <w:color w:val="FFFFFF"/>
                <w:sz w:val="18"/>
                <w:szCs w:val="18"/>
              </w:rPr>
            </w:pPr>
            <w:r w:rsidRPr="009E526D">
              <w:rPr>
                <w:rFonts w:ascii="Garamond" w:eastAsia="Garamond" w:hAnsi="Garamond" w:cs="Garamond"/>
                <w:b/>
                <w:color w:val="FFFFFF" w:themeColor="background1"/>
                <w:sz w:val="18"/>
                <w:szCs w:val="18"/>
              </w:rPr>
              <w:t>La gestione del rischio è parte del processo decisionale</w:t>
            </w:r>
          </w:p>
        </w:tc>
        <w:tc>
          <w:tcPr>
            <w:tcW w:w="3340" w:type="pct"/>
            <w:tcBorders>
              <w:left w:val="single" w:sz="4" w:space="0" w:color="auto"/>
            </w:tcBorders>
            <w:shd w:val="clear" w:color="auto" w:fill="auto"/>
            <w:tcMar>
              <w:top w:w="100" w:type="dxa"/>
              <w:left w:w="100" w:type="dxa"/>
              <w:bottom w:w="100" w:type="dxa"/>
              <w:right w:w="100" w:type="dxa"/>
            </w:tcMar>
          </w:tcPr>
          <w:p w14:paraId="02767FE8" w14:textId="77738EEF"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La gestione del rischio aiuta i responsabili delle decisioni ad effettuare scelte consapevoli, determinare la scala di priorità delle azioni e distinguere tra linee di azione alternative.</w:t>
            </w:r>
          </w:p>
        </w:tc>
      </w:tr>
      <w:tr w:rsidR="00C93954" w:rsidRPr="009E526D" w14:paraId="5DE6CEB7" w14:textId="77777777" w:rsidTr="009E526D">
        <w:trPr>
          <w:gridAfter w:val="1"/>
          <w:wAfter w:w="21" w:type="pct"/>
          <w:jc w:val="center"/>
        </w:trPr>
        <w:tc>
          <w:tcPr>
            <w:tcW w:w="1639" w:type="pct"/>
            <w:tcBorders>
              <w:top w:val="single" w:sz="4" w:space="0" w:color="auto"/>
            </w:tcBorders>
            <w:shd w:val="clear" w:color="auto" w:fill="830D28"/>
            <w:tcMar>
              <w:top w:w="100" w:type="dxa"/>
              <w:left w:w="100" w:type="dxa"/>
              <w:bottom w:w="100" w:type="dxa"/>
              <w:right w:w="100" w:type="dxa"/>
            </w:tcMar>
            <w:vAlign w:val="center"/>
          </w:tcPr>
          <w:p w14:paraId="3740BB5D" w14:textId="3D9E4022" w:rsidR="00C93954" w:rsidRPr="009E526D" w:rsidRDefault="00C93954" w:rsidP="009E526D">
            <w:pPr>
              <w:spacing w:after="0" w:line="240" w:lineRule="auto"/>
              <w:jc w:val="center"/>
              <w:rPr>
                <w:rFonts w:ascii="Garamond" w:hAnsi="Garamond"/>
                <w:b/>
                <w:color w:val="FFFFFF"/>
                <w:sz w:val="18"/>
                <w:szCs w:val="18"/>
              </w:rPr>
            </w:pPr>
            <w:r w:rsidRPr="009E526D">
              <w:rPr>
                <w:rFonts w:ascii="Garamond" w:eastAsia="Garamond" w:hAnsi="Garamond" w:cs="Garamond"/>
                <w:b/>
                <w:color w:val="FFFFFF" w:themeColor="background1"/>
                <w:sz w:val="18"/>
                <w:szCs w:val="18"/>
              </w:rPr>
              <w:t>La gestione del rischio tratta esplicitamente l’incertezza</w:t>
            </w:r>
          </w:p>
        </w:tc>
        <w:tc>
          <w:tcPr>
            <w:tcW w:w="3340" w:type="pct"/>
            <w:shd w:val="clear" w:color="auto" w:fill="auto"/>
            <w:tcMar>
              <w:top w:w="100" w:type="dxa"/>
              <w:left w:w="100" w:type="dxa"/>
              <w:bottom w:w="100" w:type="dxa"/>
              <w:right w:w="100" w:type="dxa"/>
            </w:tcMar>
          </w:tcPr>
          <w:p w14:paraId="1E91E40F" w14:textId="39FD167C"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La gestione del rischio tiene conto esplicitamente dell’incertezza, della natura di tale incertezza e di come può essere affrontata.</w:t>
            </w:r>
          </w:p>
        </w:tc>
      </w:tr>
      <w:tr w:rsidR="00C93954" w:rsidRPr="009E526D" w14:paraId="61406F6E" w14:textId="77777777" w:rsidTr="009E526D">
        <w:trPr>
          <w:gridAfter w:val="1"/>
          <w:wAfter w:w="21" w:type="pct"/>
          <w:jc w:val="center"/>
        </w:trPr>
        <w:tc>
          <w:tcPr>
            <w:tcW w:w="1639" w:type="pct"/>
            <w:shd w:val="clear" w:color="auto" w:fill="830D28"/>
            <w:tcMar>
              <w:top w:w="100" w:type="dxa"/>
              <w:left w:w="100" w:type="dxa"/>
              <w:bottom w:w="100" w:type="dxa"/>
              <w:right w:w="100" w:type="dxa"/>
            </w:tcMar>
            <w:vAlign w:val="center"/>
          </w:tcPr>
          <w:p w14:paraId="7A953651" w14:textId="67D15571" w:rsidR="00C93954" w:rsidRPr="009E526D" w:rsidRDefault="00C93954" w:rsidP="009E526D">
            <w:pPr>
              <w:spacing w:after="0" w:line="240" w:lineRule="auto"/>
              <w:jc w:val="center"/>
              <w:rPr>
                <w:rFonts w:ascii="Garamond" w:hAnsi="Garamond"/>
                <w:b/>
                <w:sz w:val="18"/>
                <w:szCs w:val="18"/>
              </w:rPr>
            </w:pPr>
            <w:r w:rsidRPr="009E526D">
              <w:rPr>
                <w:rFonts w:ascii="Garamond" w:eastAsia="Garamond" w:hAnsi="Garamond" w:cs="Garamond"/>
                <w:b/>
                <w:color w:val="FFFFFF" w:themeColor="background1"/>
                <w:sz w:val="18"/>
                <w:szCs w:val="18"/>
              </w:rPr>
              <w:t>La gestione del rischio è sistematica, strutturata e tempestiva</w:t>
            </w:r>
          </w:p>
        </w:tc>
        <w:tc>
          <w:tcPr>
            <w:tcW w:w="3340" w:type="pct"/>
            <w:shd w:val="clear" w:color="auto" w:fill="auto"/>
            <w:tcMar>
              <w:top w:w="100" w:type="dxa"/>
              <w:left w:w="100" w:type="dxa"/>
              <w:bottom w:w="100" w:type="dxa"/>
              <w:right w:w="100" w:type="dxa"/>
            </w:tcMar>
          </w:tcPr>
          <w:p w14:paraId="5F6FDB64" w14:textId="14B81DB4" w:rsidR="00C93954" w:rsidRPr="009E526D" w:rsidRDefault="00C93954"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Un approccio sistematico, tempestivo e strutturato alla gestione del rischio contribuisce all’efficienza ed a risultati coerenti, confrontabili ed affidabili.</w:t>
            </w:r>
          </w:p>
        </w:tc>
      </w:tr>
      <w:tr w:rsidR="00C93954" w:rsidRPr="009E526D" w14:paraId="685D2C95" w14:textId="77777777" w:rsidTr="009E526D">
        <w:trPr>
          <w:gridAfter w:val="1"/>
          <w:wAfter w:w="21" w:type="pct"/>
          <w:jc w:val="center"/>
        </w:trPr>
        <w:tc>
          <w:tcPr>
            <w:tcW w:w="1639" w:type="pct"/>
            <w:shd w:val="clear" w:color="auto" w:fill="830D28"/>
            <w:tcMar>
              <w:top w:w="100" w:type="dxa"/>
              <w:left w:w="100" w:type="dxa"/>
              <w:bottom w:w="100" w:type="dxa"/>
              <w:right w:w="100" w:type="dxa"/>
            </w:tcMar>
            <w:vAlign w:val="center"/>
          </w:tcPr>
          <w:p w14:paraId="79C5D3C6" w14:textId="12441E4F" w:rsidR="00C93954" w:rsidRPr="009E526D" w:rsidRDefault="00C93954" w:rsidP="009E526D">
            <w:pPr>
              <w:spacing w:after="0" w:line="240" w:lineRule="auto"/>
              <w:jc w:val="center"/>
              <w:rPr>
                <w:rFonts w:ascii="Garamond" w:hAnsi="Garamond"/>
                <w:b/>
                <w:color w:val="FFFFFF"/>
                <w:sz w:val="18"/>
                <w:szCs w:val="18"/>
              </w:rPr>
            </w:pPr>
            <w:r w:rsidRPr="009E526D">
              <w:rPr>
                <w:rFonts w:ascii="Garamond" w:eastAsia="Garamond" w:hAnsi="Garamond" w:cs="Garamond"/>
                <w:b/>
                <w:color w:val="FFFFFF" w:themeColor="background1"/>
                <w:sz w:val="18"/>
                <w:szCs w:val="18"/>
              </w:rPr>
              <w:t>La gestione del rischio si basa sulle migliori informazioni disponibili</w:t>
            </w:r>
          </w:p>
        </w:tc>
        <w:tc>
          <w:tcPr>
            <w:tcW w:w="3340" w:type="pct"/>
            <w:shd w:val="clear" w:color="auto" w:fill="auto"/>
            <w:tcMar>
              <w:top w:w="100" w:type="dxa"/>
              <w:left w:w="100" w:type="dxa"/>
              <w:bottom w:w="100" w:type="dxa"/>
              <w:right w:w="100" w:type="dxa"/>
            </w:tcMar>
          </w:tcPr>
          <w:p w14:paraId="6495F822" w14:textId="332C34F6"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Gli elementi in ingresso al processo per gestire il rischio si basano su fonti di informazione quali dati storici, esperienza, informazioni di ritorno dai portatori d’interesse, osservazioni, previsioni e parere di specialisti.</w:t>
            </w:r>
          </w:p>
        </w:tc>
      </w:tr>
      <w:tr w:rsidR="00C93954" w:rsidRPr="009E526D" w14:paraId="39C08A85" w14:textId="77777777" w:rsidTr="009E526D">
        <w:trPr>
          <w:gridAfter w:val="1"/>
          <w:wAfter w:w="21" w:type="pct"/>
          <w:trHeight w:val="134"/>
          <w:jc w:val="center"/>
        </w:trPr>
        <w:tc>
          <w:tcPr>
            <w:tcW w:w="1639" w:type="pct"/>
            <w:shd w:val="clear" w:color="auto" w:fill="830D28"/>
            <w:tcMar>
              <w:top w:w="100" w:type="dxa"/>
              <w:left w:w="100" w:type="dxa"/>
              <w:bottom w:w="100" w:type="dxa"/>
              <w:right w:w="100" w:type="dxa"/>
            </w:tcMar>
            <w:vAlign w:val="center"/>
          </w:tcPr>
          <w:p w14:paraId="53F744F6" w14:textId="7B0F3E67" w:rsidR="00C93954" w:rsidRPr="009E526D" w:rsidRDefault="00C93954" w:rsidP="009E526D">
            <w:pPr>
              <w:spacing w:after="0" w:line="240" w:lineRule="auto"/>
              <w:jc w:val="center"/>
              <w:rPr>
                <w:rFonts w:ascii="Garamond" w:eastAsia="Garamond" w:hAnsi="Garamond" w:cs="Garamond"/>
                <w:b/>
                <w:color w:val="FFFFFF" w:themeColor="background1"/>
                <w:sz w:val="18"/>
                <w:szCs w:val="18"/>
              </w:rPr>
            </w:pPr>
            <w:r w:rsidRPr="009E526D">
              <w:rPr>
                <w:rFonts w:ascii="Garamond" w:eastAsia="Garamond" w:hAnsi="Garamond" w:cs="Garamond"/>
                <w:b/>
                <w:color w:val="FFFFFF" w:themeColor="background1"/>
                <w:sz w:val="18"/>
                <w:szCs w:val="18"/>
              </w:rPr>
              <w:t>La gestione del rischio è</w:t>
            </w:r>
          </w:p>
          <w:p w14:paraId="7CA2566C" w14:textId="501D6D27" w:rsidR="00C93954" w:rsidRPr="009E526D" w:rsidRDefault="00C93954" w:rsidP="009E526D">
            <w:pPr>
              <w:spacing w:after="0" w:line="240" w:lineRule="auto"/>
              <w:jc w:val="center"/>
              <w:rPr>
                <w:rFonts w:ascii="Garamond" w:hAnsi="Garamond"/>
                <w:b/>
                <w:color w:val="FFFFFF"/>
                <w:sz w:val="18"/>
                <w:szCs w:val="18"/>
              </w:rPr>
            </w:pPr>
            <w:r w:rsidRPr="009E526D">
              <w:rPr>
                <w:rFonts w:ascii="Garamond" w:eastAsia="Garamond" w:hAnsi="Garamond" w:cs="Garamond"/>
                <w:b/>
                <w:color w:val="FFFFFF" w:themeColor="background1"/>
                <w:sz w:val="18"/>
                <w:szCs w:val="18"/>
              </w:rPr>
              <w:t>“su misura”</w:t>
            </w:r>
          </w:p>
        </w:tc>
        <w:tc>
          <w:tcPr>
            <w:tcW w:w="3340" w:type="pct"/>
            <w:shd w:val="clear" w:color="auto" w:fill="auto"/>
            <w:tcMar>
              <w:top w:w="100" w:type="dxa"/>
              <w:left w:w="100" w:type="dxa"/>
              <w:bottom w:w="100" w:type="dxa"/>
              <w:right w:w="100" w:type="dxa"/>
            </w:tcMar>
          </w:tcPr>
          <w:p w14:paraId="26522E22" w14:textId="03F10791"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La gestione del rischio è in linea con il contesto esterno ed interno e con il profilo di rischio dell’organizzazione.</w:t>
            </w:r>
          </w:p>
        </w:tc>
      </w:tr>
      <w:tr w:rsidR="00C93954" w:rsidRPr="009E526D" w14:paraId="14E84058" w14:textId="77777777" w:rsidTr="009E526D">
        <w:trPr>
          <w:gridAfter w:val="1"/>
          <w:wAfter w:w="21" w:type="pct"/>
          <w:jc w:val="center"/>
        </w:trPr>
        <w:tc>
          <w:tcPr>
            <w:tcW w:w="1639" w:type="pct"/>
            <w:shd w:val="clear" w:color="auto" w:fill="830D28"/>
            <w:tcMar>
              <w:top w:w="100" w:type="dxa"/>
              <w:left w:w="100" w:type="dxa"/>
              <w:bottom w:w="100" w:type="dxa"/>
              <w:right w:w="100" w:type="dxa"/>
            </w:tcMar>
            <w:vAlign w:val="center"/>
          </w:tcPr>
          <w:p w14:paraId="61A707DD" w14:textId="5684D872" w:rsidR="00C93954" w:rsidRPr="009E526D" w:rsidRDefault="00C93954" w:rsidP="009E526D">
            <w:pPr>
              <w:spacing w:after="0" w:line="240" w:lineRule="auto"/>
              <w:jc w:val="center"/>
              <w:rPr>
                <w:rFonts w:ascii="Garamond" w:hAnsi="Garamond"/>
                <w:b/>
                <w:color w:val="FFFFFF"/>
                <w:sz w:val="18"/>
                <w:szCs w:val="18"/>
              </w:rPr>
            </w:pPr>
            <w:r w:rsidRPr="009E526D">
              <w:rPr>
                <w:rFonts w:ascii="Garamond" w:eastAsia="Garamond" w:hAnsi="Garamond" w:cs="Garamond"/>
                <w:b/>
                <w:color w:val="FFFFFF" w:themeColor="background1"/>
                <w:sz w:val="18"/>
                <w:szCs w:val="18"/>
              </w:rPr>
              <w:lastRenderedPageBreak/>
              <w:t>La gestione del rischio tiene conto dei fattori umani e culturali</w:t>
            </w:r>
          </w:p>
        </w:tc>
        <w:tc>
          <w:tcPr>
            <w:tcW w:w="3340" w:type="pct"/>
            <w:shd w:val="clear" w:color="auto" w:fill="auto"/>
            <w:tcMar>
              <w:top w:w="100" w:type="dxa"/>
              <w:left w:w="100" w:type="dxa"/>
              <w:bottom w:w="100" w:type="dxa"/>
              <w:right w:w="100" w:type="dxa"/>
            </w:tcMar>
          </w:tcPr>
          <w:p w14:paraId="06736B4E" w14:textId="11257F02"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La gestione del rischio individua capacità, percezioni e aspettative delle persone esterne ed interne che possono facilitare o impedire il raggiungimento degli obiettivi dell’organizzazione.</w:t>
            </w:r>
          </w:p>
        </w:tc>
      </w:tr>
      <w:tr w:rsidR="00C93954" w:rsidRPr="009E526D" w14:paraId="59738147" w14:textId="77777777" w:rsidTr="009E526D">
        <w:trPr>
          <w:gridAfter w:val="1"/>
          <w:wAfter w:w="21" w:type="pct"/>
          <w:jc w:val="center"/>
        </w:trPr>
        <w:tc>
          <w:tcPr>
            <w:tcW w:w="1639" w:type="pct"/>
            <w:shd w:val="clear" w:color="auto" w:fill="830C28"/>
            <w:tcMar>
              <w:top w:w="100" w:type="dxa"/>
              <w:left w:w="100" w:type="dxa"/>
              <w:bottom w:w="100" w:type="dxa"/>
              <w:right w:w="100" w:type="dxa"/>
            </w:tcMar>
            <w:vAlign w:val="center"/>
          </w:tcPr>
          <w:p w14:paraId="2DA6CF87" w14:textId="66FDB71A" w:rsidR="00C93954" w:rsidRPr="009E526D" w:rsidRDefault="00C93954" w:rsidP="009E526D">
            <w:pPr>
              <w:shd w:val="clear" w:color="auto" w:fill="830D28"/>
              <w:spacing w:after="0" w:line="240" w:lineRule="auto"/>
              <w:jc w:val="center"/>
              <w:rPr>
                <w:rFonts w:ascii="Garamond" w:eastAsia="Garamond" w:hAnsi="Garamond" w:cs="Garamond"/>
                <w:b/>
                <w:color w:val="FFFFFF" w:themeColor="background1"/>
                <w:sz w:val="18"/>
                <w:szCs w:val="18"/>
              </w:rPr>
            </w:pPr>
            <w:r w:rsidRPr="009E526D">
              <w:rPr>
                <w:rFonts w:ascii="Garamond" w:eastAsia="Garamond" w:hAnsi="Garamond" w:cs="Garamond"/>
                <w:b/>
                <w:color w:val="FFFFFF" w:themeColor="background1"/>
                <w:sz w:val="18"/>
                <w:szCs w:val="18"/>
              </w:rPr>
              <w:t>La gestione del rischio è trasparente e inclusiva</w:t>
            </w:r>
          </w:p>
        </w:tc>
        <w:tc>
          <w:tcPr>
            <w:tcW w:w="3340" w:type="pct"/>
            <w:shd w:val="clear" w:color="auto" w:fill="auto"/>
            <w:tcMar>
              <w:top w:w="100" w:type="dxa"/>
              <w:left w:w="100" w:type="dxa"/>
              <w:bottom w:w="100" w:type="dxa"/>
              <w:right w:w="100" w:type="dxa"/>
            </w:tcMar>
          </w:tcPr>
          <w:p w14:paraId="4BE2DE35" w14:textId="36EE5348" w:rsidR="00C93954" w:rsidRPr="009E526D" w:rsidRDefault="00C93954" w:rsidP="009E526D">
            <w:pPr>
              <w:spacing w:after="0" w:line="240" w:lineRule="auto"/>
              <w:jc w:val="both"/>
              <w:rPr>
                <w:rFonts w:ascii="Garamond" w:hAnsi="Garamond"/>
                <w:sz w:val="18"/>
                <w:szCs w:val="18"/>
              </w:rPr>
            </w:pPr>
            <w:r w:rsidRPr="009E526D">
              <w:rPr>
                <w:rFonts w:ascii="Garamond" w:eastAsia="Garamond" w:hAnsi="Garamond" w:cs="Garamond"/>
                <w:sz w:val="18"/>
                <w:szCs w:val="18"/>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 interesse siano opportunamente rappresentati e che i loro punti di vista siano presi in considerazione nel definire i criteri di rischio.</w:t>
            </w:r>
          </w:p>
        </w:tc>
      </w:tr>
      <w:tr w:rsidR="00C93954" w:rsidRPr="00EC659E" w14:paraId="51084F93" w14:textId="77777777" w:rsidTr="009E526D">
        <w:trPr>
          <w:trHeight w:val="514"/>
          <w:jc w:val="center"/>
        </w:trPr>
        <w:tc>
          <w:tcPr>
            <w:tcW w:w="1639" w:type="pct"/>
            <w:shd w:val="clear" w:color="auto" w:fill="830C28"/>
            <w:tcMar>
              <w:top w:w="100" w:type="dxa"/>
              <w:left w:w="100" w:type="dxa"/>
              <w:bottom w:w="100" w:type="dxa"/>
              <w:right w:w="100" w:type="dxa"/>
            </w:tcMar>
            <w:vAlign w:val="center"/>
          </w:tcPr>
          <w:p w14:paraId="5ECB1463" w14:textId="77777777" w:rsidR="00C93954" w:rsidRPr="009E526D" w:rsidRDefault="00C93954" w:rsidP="009E526D">
            <w:pPr>
              <w:spacing w:after="0" w:line="240" w:lineRule="auto"/>
              <w:jc w:val="center"/>
              <w:rPr>
                <w:rFonts w:ascii="Garamond" w:eastAsia="Garamond" w:hAnsi="Garamond" w:cs="Garamond"/>
                <w:b/>
                <w:color w:val="FFFFFF" w:themeColor="background1"/>
                <w:sz w:val="18"/>
                <w:szCs w:val="18"/>
              </w:rPr>
            </w:pPr>
            <w:r w:rsidRPr="009E526D">
              <w:rPr>
                <w:rFonts w:ascii="Garamond" w:eastAsia="Garamond" w:hAnsi="Garamond" w:cs="Garamond"/>
                <w:b/>
                <w:color w:val="FFFFFF" w:themeColor="background1"/>
                <w:sz w:val="18"/>
                <w:szCs w:val="18"/>
                <w:shd w:val="clear" w:color="auto" w:fill="830D28"/>
              </w:rPr>
              <w:t>La gestione del rischio è dinamica, iterativa e reattiva al cambiamento</w:t>
            </w:r>
            <w:r w:rsidRPr="009E526D">
              <w:rPr>
                <w:rFonts w:ascii="Garamond" w:eastAsia="Garamond" w:hAnsi="Garamond" w:cs="Garamond"/>
                <w:b/>
                <w:color w:val="FFFFFF" w:themeColor="background1"/>
                <w:sz w:val="18"/>
                <w:szCs w:val="18"/>
              </w:rPr>
              <w:t>.</w:t>
            </w:r>
          </w:p>
        </w:tc>
        <w:tc>
          <w:tcPr>
            <w:tcW w:w="3361" w:type="pct"/>
            <w:gridSpan w:val="2"/>
            <w:shd w:val="clear" w:color="auto" w:fill="auto"/>
            <w:tcMar>
              <w:top w:w="100" w:type="dxa"/>
              <w:left w:w="100" w:type="dxa"/>
              <w:bottom w:w="100" w:type="dxa"/>
              <w:right w:w="100" w:type="dxa"/>
            </w:tcMar>
          </w:tcPr>
          <w:p w14:paraId="5945422B" w14:textId="77777777" w:rsidR="00C93954" w:rsidRPr="009E526D" w:rsidRDefault="00C93954"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La gestione del rischio è sensibile e risponde al cambiamento continuamente. Ogniqualvolta accadano eventi esterni ed interni, cambiano il contesto e la conoscenza, si attuano il monitoraggio ed il riesame, emergono nuovi rischi, alcuni rischi si modificano ed altri scompaiono.</w:t>
            </w:r>
          </w:p>
        </w:tc>
      </w:tr>
      <w:tr w:rsidR="00C93954" w:rsidRPr="00EC659E" w14:paraId="149910DA" w14:textId="77777777" w:rsidTr="009E526D">
        <w:trPr>
          <w:trHeight w:val="486"/>
          <w:jc w:val="center"/>
        </w:trPr>
        <w:tc>
          <w:tcPr>
            <w:tcW w:w="1639" w:type="pct"/>
            <w:shd w:val="clear" w:color="auto" w:fill="830C28"/>
            <w:tcMar>
              <w:top w:w="100" w:type="dxa"/>
              <w:left w:w="100" w:type="dxa"/>
              <w:bottom w:w="100" w:type="dxa"/>
              <w:right w:w="100" w:type="dxa"/>
            </w:tcMar>
            <w:vAlign w:val="center"/>
          </w:tcPr>
          <w:p w14:paraId="46E1A014" w14:textId="77777777" w:rsidR="00C93954" w:rsidRPr="009E526D" w:rsidRDefault="00C93954" w:rsidP="009E526D">
            <w:pPr>
              <w:spacing w:after="0" w:line="240" w:lineRule="auto"/>
              <w:jc w:val="center"/>
              <w:rPr>
                <w:rFonts w:ascii="Garamond" w:hAnsi="Garamond"/>
                <w:b/>
                <w:color w:val="FFFFFF" w:themeColor="background1"/>
                <w:sz w:val="18"/>
                <w:szCs w:val="18"/>
                <w:shd w:val="clear" w:color="auto" w:fill="662160"/>
              </w:rPr>
            </w:pPr>
            <w:r w:rsidRPr="009E526D">
              <w:rPr>
                <w:rFonts w:ascii="Garamond" w:eastAsia="Garamond" w:hAnsi="Garamond" w:cs="Garamond"/>
                <w:b/>
                <w:color w:val="FFFFFF" w:themeColor="background1"/>
                <w:sz w:val="18"/>
                <w:szCs w:val="18"/>
              </w:rPr>
              <w:t>La gestione del rischio favorisce il miglioramento continuo dell’organizzazione</w:t>
            </w:r>
          </w:p>
        </w:tc>
        <w:tc>
          <w:tcPr>
            <w:tcW w:w="3361" w:type="pct"/>
            <w:gridSpan w:val="2"/>
            <w:shd w:val="clear" w:color="auto" w:fill="auto"/>
            <w:tcMar>
              <w:top w:w="100" w:type="dxa"/>
              <w:left w:w="100" w:type="dxa"/>
              <w:bottom w:w="100" w:type="dxa"/>
              <w:right w:w="100" w:type="dxa"/>
            </w:tcMar>
          </w:tcPr>
          <w:p w14:paraId="671B1247" w14:textId="77777777" w:rsidR="00C93954" w:rsidRPr="009E526D" w:rsidRDefault="00C93954"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L'Organizzazione sviluppa e attua strategie per migliorare la maturità della propria gestione del rischio insieme a tutti gli altri aspetti della propria organizzazione.</w:t>
            </w:r>
          </w:p>
        </w:tc>
      </w:tr>
    </w:tbl>
    <w:p w14:paraId="0FDDA36E" w14:textId="61248A66" w:rsidR="00191B9C" w:rsidRPr="009E526D" w:rsidRDefault="00CF2E12" w:rsidP="00DA283D">
      <w:pPr>
        <w:pStyle w:val="Titolo1"/>
        <w:numPr>
          <w:ilvl w:val="0"/>
          <w:numId w:val="1"/>
        </w:numPr>
        <w:spacing w:before="120" w:after="120" w:line="240" w:lineRule="auto"/>
        <w:ind w:left="0" w:firstLine="0"/>
        <w:rPr>
          <w:rFonts w:ascii="Garamond" w:hAnsi="Garamond"/>
          <w:bCs w:val="0"/>
          <w:color w:val="00B0F0"/>
          <w:sz w:val="22"/>
          <w:szCs w:val="22"/>
          <w:lang w:eastAsia="it-IT"/>
        </w:rPr>
      </w:pPr>
      <w:bookmarkStart w:id="9" w:name="_Toc875886"/>
      <w:r w:rsidRPr="009E526D">
        <w:rPr>
          <w:rFonts w:ascii="Garamond" w:hAnsi="Garamond"/>
          <w:bCs w:val="0"/>
          <w:color w:val="00B0F0"/>
          <w:sz w:val="22"/>
          <w:szCs w:val="22"/>
          <w:lang w:eastAsia="it-IT"/>
        </w:rPr>
        <w:t>Criteri di valutazione</w:t>
      </w:r>
      <w:bookmarkEnd w:id="9"/>
    </w:p>
    <w:p w14:paraId="0FB03B66" w14:textId="77777777" w:rsidR="00CF2E12" w:rsidRPr="009E526D" w:rsidRDefault="00CF2E12" w:rsidP="009E526D">
      <w:pPr>
        <w:pStyle w:val="Paragrafoelenco"/>
        <w:spacing w:after="0" w:line="240" w:lineRule="auto"/>
        <w:ind w:left="0" w:right="159"/>
        <w:jc w:val="both"/>
        <w:rPr>
          <w:rFonts w:ascii="Garamond" w:eastAsia="Garamond" w:hAnsi="Garamond" w:cs="Garamond"/>
          <w:sz w:val="20"/>
          <w:szCs w:val="20"/>
        </w:rPr>
      </w:pPr>
      <w:r w:rsidRPr="009E526D">
        <w:rPr>
          <w:rFonts w:ascii="Garamond" w:eastAsia="Garamond" w:hAnsi="Garamond" w:cs="Garamond"/>
          <w:sz w:val="20"/>
          <w:szCs w:val="20"/>
        </w:rPr>
        <w:t xml:space="preserve">Con la definizione </w:t>
      </w:r>
      <w:r w:rsidRPr="009E526D">
        <w:rPr>
          <w:rFonts w:ascii="Garamond" w:eastAsia="Garamond" w:hAnsi="Garamond" w:cs="Garamond"/>
          <w:sz w:val="20"/>
          <w:szCs w:val="20"/>
          <w:u w:val="single"/>
        </w:rPr>
        <w:t xml:space="preserve">Risk-Chance Analysis </w:t>
      </w:r>
      <w:r w:rsidRPr="009E526D">
        <w:rPr>
          <w:rFonts w:ascii="Garamond" w:eastAsia="Garamond" w:hAnsi="Garamond" w:cs="Garamond"/>
          <w:sz w:val="20"/>
          <w:szCs w:val="20"/>
        </w:rPr>
        <w:t>si intende quel processo che, partendo dall’identificazione delle fonti di rischio, dai quali possa derivare un impatto sul sistema aziendale, cerca di determinare la probabilità di accadimento e l’entità dell’effetto.</w:t>
      </w:r>
    </w:p>
    <w:p w14:paraId="0BB2A853" w14:textId="4EF1ECE1" w:rsidR="00CF2E12" w:rsidRPr="009E526D" w:rsidRDefault="00CF2E12" w:rsidP="009E526D">
      <w:pPr>
        <w:pStyle w:val="Paragrafoelenco"/>
        <w:spacing w:after="0" w:line="240" w:lineRule="auto"/>
        <w:ind w:left="0" w:right="159"/>
        <w:jc w:val="both"/>
        <w:rPr>
          <w:rFonts w:ascii="Garamond" w:eastAsia="Garamond" w:hAnsi="Garamond" w:cs="Garamond"/>
          <w:sz w:val="20"/>
          <w:szCs w:val="20"/>
        </w:rPr>
      </w:pPr>
      <w:r w:rsidRPr="009E526D">
        <w:rPr>
          <w:rFonts w:ascii="Garamond" w:eastAsia="Garamond" w:hAnsi="Garamond" w:cs="Garamond"/>
          <w:sz w:val="20"/>
          <w:szCs w:val="20"/>
        </w:rPr>
        <w:t>La norma internazionale IEC 31010:2009 - Risk management - Risk assessment techniques individua le metodologie di valutazione (identificazione/analisi/ponderazione) dei rischi. Nella presente procedura prende a modello il sistema a matrice 'consequence/probability matrix' di cui all'annex B.29 della suddetta norma.</w:t>
      </w:r>
    </w:p>
    <w:p w14:paraId="1E787220" w14:textId="77777777" w:rsidR="00CF2E12" w:rsidRPr="009E526D" w:rsidRDefault="00CF2E12" w:rsidP="009E526D">
      <w:pPr>
        <w:pStyle w:val="Paragrafoelenco"/>
        <w:spacing w:after="0" w:line="240" w:lineRule="auto"/>
        <w:ind w:left="0" w:right="160"/>
        <w:jc w:val="both"/>
        <w:rPr>
          <w:rFonts w:ascii="Garamond" w:eastAsia="Garamond" w:hAnsi="Garamond" w:cs="Garamond"/>
          <w:sz w:val="20"/>
          <w:szCs w:val="20"/>
        </w:rPr>
      </w:pPr>
      <w:r w:rsidRPr="009E526D">
        <w:rPr>
          <w:rFonts w:ascii="Garamond" w:eastAsia="Garamond" w:hAnsi="Garamond" w:cs="Garamond"/>
          <w:sz w:val="20"/>
          <w:szCs w:val="20"/>
        </w:rPr>
        <w:t>La stima del rischio si esplica in una valutazione rappresentata dalla identificazione del pericolo o fattore di rischio da mettere in relazione con i possibili effetti da esso derivanti.</w:t>
      </w:r>
    </w:p>
    <w:p w14:paraId="0DBEF10C" w14:textId="3A5304B0" w:rsidR="00CF2E12" w:rsidRDefault="00CF2E12" w:rsidP="009E526D">
      <w:pPr>
        <w:pStyle w:val="Paragrafoelenco"/>
        <w:spacing w:after="0" w:line="240" w:lineRule="auto"/>
        <w:ind w:left="0" w:right="160"/>
        <w:jc w:val="both"/>
        <w:rPr>
          <w:rFonts w:ascii="Garamond" w:eastAsia="Garamond" w:hAnsi="Garamond" w:cs="Garamond"/>
          <w:sz w:val="20"/>
          <w:szCs w:val="20"/>
        </w:rPr>
      </w:pPr>
      <w:r w:rsidRPr="009E526D">
        <w:rPr>
          <w:rFonts w:ascii="Garamond" w:eastAsia="Garamond" w:hAnsi="Garamond" w:cs="Garamond"/>
          <w:sz w:val="20"/>
          <w:szCs w:val="20"/>
        </w:rPr>
        <w:t>In linea con i principi seguiti della norma IEC 31010:2009, la metodologia seguita per la valutazione del rischio è quella che, valuta la grandezza del rischio (indice del rischio) come moltiplicatore di una matrice quadrata 5x5, quindi:</w:t>
      </w:r>
    </w:p>
    <w:p w14:paraId="5B65C224" w14:textId="77777777" w:rsidR="009E526D" w:rsidRPr="009E526D" w:rsidRDefault="009E526D" w:rsidP="009E526D">
      <w:pPr>
        <w:pStyle w:val="Paragrafoelenco"/>
        <w:spacing w:after="0" w:line="240" w:lineRule="auto"/>
        <w:ind w:left="0" w:right="160"/>
        <w:jc w:val="both"/>
        <w:rPr>
          <w:rFonts w:ascii="Garamond" w:eastAsia="Garamond" w:hAnsi="Garamond" w:cs="Garamond"/>
          <w:sz w:val="20"/>
          <w:szCs w:val="20"/>
        </w:rPr>
      </w:pPr>
    </w:p>
    <w:tbl>
      <w:tblPr>
        <w:tblW w:w="4894" w:type="pct"/>
        <w:tblCellMar>
          <w:left w:w="70" w:type="dxa"/>
          <w:right w:w="70" w:type="dxa"/>
        </w:tblCellMar>
        <w:tblLook w:val="04A0" w:firstRow="1" w:lastRow="0" w:firstColumn="1" w:lastColumn="0" w:noHBand="0" w:noVBand="1"/>
      </w:tblPr>
      <w:tblGrid>
        <w:gridCol w:w="890"/>
        <w:gridCol w:w="890"/>
        <w:gridCol w:w="891"/>
        <w:gridCol w:w="893"/>
        <w:gridCol w:w="893"/>
        <w:gridCol w:w="893"/>
        <w:gridCol w:w="893"/>
        <w:gridCol w:w="2544"/>
        <w:gridCol w:w="159"/>
      </w:tblGrid>
      <w:tr w:rsidR="00565D28" w:rsidRPr="00565D28" w14:paraId="12F5CFA6" w14:textId="77777777" w:rsidTr="00DA283D">
        <w:trPr>
          <w:gridAfter w:val="1"/>
          <w:wAfter w:w="89" w:type="pct"/>
          <w:trHeight w:val="483"/>
        </w:trPr>
        <w:tc>
          <w:tcPr>
            <w:tcW w:w="497" w:type="pct"/>
            <w:tcBorders>
              <w:top w:val="single" w:sz="4" w:space="0" w:color="auto"/>
              <w:left w:val="single" w:sz="4" w:space="0" w:color="auto"/>
              <w:bottom w:val="nil"/>
              <w:right w:val="nil"/>
            </w:tcBorders>
            <w:shd w:val="clear" w:color="auto" w:fill="auto"/>
            <w:noWrap/>
            <w:vAlign w:val="center"/>
            <w:hideMark/>
          </w:tcPr>
          <w:p w14:paraId="55033C00" w14:textId="77777777" w:rsidR="00565D28" w:rsidRPr="00565D28" w:rsidRDefault="00565D28" w:rsidP="00565D28">
            <w:pPr>
              <w:spacing w:after="0" w:line="240" w:lineRule="auto"/>
              <w:jc w:val="center"/>
              <w:rPr>
                <w:rFonts w:ascii="Gotham Book" w:eastAsia="Times New Roman" w:hAnsi="Gotham Book" w:cs="Calibri"/>
                <w:b/>
                <w:bCs/>
                <w:color w:val="000000"/>
                <w:lang w:eastAsia="it-IT"/>
              </w:rPr>
            </w:pPr>
            <w:r w:rsidRPr="00565D28">
              <w:rPr>
                <w:rFonts w:ascii="Gotham Book" w:eastAsia="Times New Roman" w:hAnsi="Gotham Book" w:cs="Calibri"/>
                <w:b/>
                <w:bCs/>
                <w:color w:val="000000"/>
                <w:lang w:eastAsia="it-IT"/>
              </w:rPr>
              <w:t>P</w:t>
            </w:r>
          </w:p>
        </w:tc>
        <w:tc>
          <w:tcPr>
            <w:tcW w:w="49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21B4BF"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5</w:t>
            </w:r>
          </w:p>
        </w:tc>
        <w:tc>
          <w:tcPr>
            <w:tcW w:w="498" w:type="pct"/>
            <w:tcBorders>
              <w:top w:val="single" w:sz="4" w:space="0" w:color="auto"/>
              <w:left w:val="nil"/>
              <w:bottom w:val="single" w:sz="4" w:space="0" w:color="auto"/>
              <w:right w:val="single" w:sz="4" w:space="0" w:color="auto"/>
            </w:tcBorders>
            <w:shd w:val="clear" w:color="000000" w:fill="FFFF00"/>
            <w:noWrap/>
            <w:vAlign w:val="bottom"/>
            <w:hideMark/>
          </w:tcPr>
          <w:p w14:paraId="4020010B"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10</w:t>
            </w:r>
          </w:p>
        </w:tc>
        <w:tc>
          <w:tcPr>
            <w:tcW w:w="499" w:type="pct"/>
            <w:tcBorders>
              <w:top w:val="single" w:sz="4" w:space="0" w:color="auto"/>
              <w:left w:val="nil"/>
              <w:bottom w:val="single" w:sz="4" w:space="0" w:color="auto"/>
              <w:right w:val="single" w:sz="4" w:space="0" w:color="auto"/>
            </w:tcBorders>
            <w:shd w:val="clear" w:color="000000" w:fill="FFC000"/>
            <w:noWrap/>
            <w:vAlign w:val="bottom"/>
            <w:hideMark/>
          </w:tcPr>
          <w:p w14:paraId="26D4CE00"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15</w:t>
            </w:r>
          </w:p>
        </w:tc>
        <w:tc>
          <w:tcPr>
            <w:tcW w:w="499" w:type="pct"/>
            <w:tcBorders>
              <w:top w:val="single" w:sz="4" w:space="0" w:color="auto"/>
              <w:left w:val="nil"/>
              <w:bottom w:val="single" w:sz="4" w:space="0" w:color="auto"/>
              <w:right w:val="single" w:sz="4" w:space="0" w:color="auto"/>
            </w:tcBorders>
            <w:shd w:val="clear" w:color="000000" w:fill="FF0000"/>
            <w:noWrap/>
            <w:vAlign w:val="bottom"/>
            <w:hideMark/>
          </w:tcPr>
          <w:p w14:paraId="4CEFA905"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20</w:t>
            </w:r>
          </w:p>
        </w:tc>
        <w:tc>
          <w:tcPr>
            <w:tcW w:w="499" w:type="pct"/>
            <w:tcBorders>
              <w:top w:val="single" w:sz="4" w:space="0" w:color="auto"/>
              <w:left w:val="nil"/>
              <w:bottom w:val="single" w:sz="4" w:space="0" w:color="auto"/>
              <w:right w:val="single" w:sz="4" w:space="0" w:color="auto"/>
            </w:tcBorders>
            <w:shd w:val="clear" w:color="000000" w:fill="FF0000"/>
            <w:noWrap/>
            <w:vAlign w:val="bottom"/>
            <w:hideMark/>
          </w:tcPr>
          <w:p w14:paraId="2134088C"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25</w:t>
            </w:r>
          </w:p>
        </w:tc>
        <w:tc>
          <w:tcPr>
            <w:tcW w:w="499" w:type="pct"/>
            <w:tcBorders>
              <w:top w:val="single" w:sz="4" w:space="0" w:color="auto"/>
              <w:left w:val="nil"/>
              <w:bottom w:val="nil"/>
              <w:right w:val="nil"/>
            </w:tcBorders>
            <w:shd w:val="clear" w:color="auto" w:fill="auto"/>
            <w:noWrap/>
            <w:vAlign w:val="bottom"/>
            <w:hideMark/>
          </w:tcPr>
          <w:p w14:paraId="6438B3A1" w14:textId="77777777" w:rsidR="00565D28" w:rsidRPr="00565D28" w:rsidRDefault="00565D28" w:rsidP="00565D28">
            <w:pPr>
              <w:spacing w:after="0" w:line="240" w:lineRule="auto"/>
              <w:jc w:val="right"/>
              <w:rPr>
                <w:rFonts w:ascii="Calibri" w:eastAsia="Times New Roman" w:hAnsi="Calibri" w:cs="Calibri"/>
                <w:color w:val="000000"/>
                <w:lang w:eastAsia="it-IT"/>
              </w:rPr>
            </w:pPr>
          </w:p>
        </w:tc>
        <w:tc>
          <w:tcPr>
            <w:tcW w:w="1422" w:type="pct"/>
            <w:tcBorders>
              <w:top w:val="single" w:sz="4" w:space="0" w:color="auto"/>
              <w:left w:val="nil"/>
              <w:bottom w:val="nil"/>
              <w:right w:val="single" w:sz="4" w:space="0" w:color="auto"/>
            </w:tcBorders>
            <w:shd w:val="clear" w:color="auto" w:fill="auto"/>
            <w:vAlign w:val="center"/>
            <w:hideMark/>
          </w:tcPr>
          <w:p w14:paraId="6E502058" w14:textId="77777777" w:rsidR="00565D28" w:rsidRPr="009E526D" w:rsidRDefault="00565D28" w:rsidP="00565D28">
            <w:pPr>
              <w:spacing w:after="0" w:line="240" w:lineRule="auto"/>
              <w:rPr>
                <w:rFonts w:ascii="Garamond" w:eastAsia="Times New Roman" w:hAnsi="Garamond" w:cs="Calibri"/>
                <w:b/>
                <w:bCs/>
                <w:color w:val="000000"/>
                <w:sz w:val="18"/>
                <w:szCs w:val="18"/>
                <w:lang w:eastAsia="it-IT"/>
              </w:rPr>
            </w:pPr>
            <w:r w:rsidRPr="009E526D">
              <w:rPr>
                <w:rFonts w:ascii="Garamond" w:eastAsia="Times New Roman" w:hAnsi="Garamond" w:cs="Calibri"/>
                <w:b/>
                <w:bCs/>
                <w:color w:val="000000"/>
                <w:sz w:val="18"/>
                <w:szCs w:val="18"/>
                <w:lang w:eastAsia="it-IT"/>
              </w:rPr>
              <w:t>R = P x I</w:t>
            </w:r>
          </w:p>
        </w:tc>
      </w:tr>
      <w:tr w:rsidR="00565D28" w:rsidRPr="00565D28" w14:paraId="3DCA0324" w14:textId="77777777" w:rsidTr="00DA283D">
        <w:trPr>
          <w:gridAfter w:val="1"/>
          <w:wAfter w:w="89" w:type="pct"/>
          <w:trHeight w:val="405"/>
        </w:trPr>
        <w:tc>
          <w:tcPr>
            <w:tcW w:w="497" w:type="pct"/>
            <w:tcBorders>
              <w:top w:val="nil"/>
              <w:left w:val="single" w:sz="4" w:space="0" w:color="auto"/>
              <w:bottom w:val="nil"/>
              <w:right w:val="nil"/>
            </w:tcBorders>
            <w:shd w:val="clear" w:color="auto" w:fill="auto"/>
            <w:noWrap/>
            <w:vAlign w:val="bottom"/>
            <w:hideMark/>
          </w:tcPr>
          <w:p w14:paraId="7B2BDA8F" w14:textId="77777777" w:rsidR="00565D28" w:rsidRPr="00565D28" w:rsidRDefault="00565D28" w:rsidP="00565D28">
            <w:pPr>
              <w:spacing w:after="0" w:line="240" w:lineRule="auto"/>
              <w:rPr>
                <w:rFonts w:ascii="Gotham Light" w:eastAsia="Times New Roman" w:hAnsi="Gotham Light" w:cs="Calibri"/>
                <w:b/>
                <w:bCs/>
                <w:color w:val="000000"/>
                <w:sz w:val="20"/>
                <w:szCs w:val="20"/>
                <w:lang w:eastAsia="it-IT"/>
              </w:rPr>
            </w:pPr>
          </w:p>
        </w:tc>
        <w:tc>
          <w:tcPr>
            <w:tcW w:w="497" w:type="pct"/>
            <w:tcBorders>
              <w:top w:val="nil"/>
              <w:left w:val="single" w:sz="4" w:space="0" w:color="auto"/>
              <w:bottom w:val="single" w:sz="4" w:space="0" w:color="auto"/>
              <w:right w:val="single" w:sz="4" w:space="0" w:color="auto"/>
            </w:tcBorders>
            <w:shd w:val="clear" w:color="000000" w:fill="92D050"/>
            <w:noWrap/>
            <w:vAlign w:val="bottom"/>
            <w:hideMark/>
          </w:tcPr>
          <w:p w14:paraId="5C6C962F"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4</w:t>
            </w:r>
          </w:p>
        </w:tc>
        <w:tc>
          <w:tcPr>
            <w:tcW w:w="498" w:type="pct"/>
            <w:tcBorders>
              <w:top w:val="nil"/>
              <w:left w:val="nil"/>
              <w:bottom w:val="single" w:sz="4" w:space="0" w:color="auto"/>
              <w:right w:val="single" w:sz="4" w:space="0" w:color="auto"/>
            </w:tcBorders>
            <w:shd w:val="clear" w:color="000000" w:fill="92D050"/>
            <w:noWrap/>
            <w:vAlign w:val="bottom"/>
            <w:hideMark/>
          </w:tcPr>
          <w:p w14:paraId="4CCA7B31"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8</w:t>
            </w:r>
          </w:p>
        </w:tc>
        <w:tc>
          <w:tcPr>
            <w:tcW w:w="499" w:type="pct"/>
            <w:tcBorders>
              <w:top w:val="nil"/>
              <w:left w:val="nil"/>
              <w:bottom w:val="single" w:sz="4" w:space="0" w:color="auto"/>
              <w:right w:val="single" w:sz="4" w:space="0" w:color="auto"/>
            </w:tcBorders>
            <w:shd w:val="clear" w:color="000000" w:fill="FFFF00"/>
            <w:noWrap/>
            <w:vAlign w:val="bottom"/>
            <w:hideMark/>
          </w:tcPr>
          <w:p w14:paraId="0EE4D2C8"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12</w:t>
            </w:r>
          </w:p>
        </w:tc>
        <w:tc>
          <w:tcPr>
            <w:tcW w:w="499" w:type="pct"/>
            <w:tcBorders>
              <w:top w:val="nil"/>
              <w:left w:val="nil"/>
              <w:bottom w:val="single" w:sz="4" w:space="0" w:color="auto"/>
              <w:right w:val="single" w:sz="4" w:space="0" w:color="auto"/>
            </w:tcBorders>
            <w:shd w:val="clear" w:color="000000" w:fill="FFC000"/>
            <w:noWrap/>
            <w:vAlign w:val="bottom"/>
            <w:hideMark/>
          </w:tcPr>
          <w:p w14:paraId="7B76FD2C"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16</w:t>
            </w:r>
          </w:p>
        </w:tc>
        <w:tc>
          <w:tcPr>
            <w:tcW w:w="499" w:type="pct"/>
            <w:tcBorders>
              <w:top w:val="nil"/>
              <w:left w:val="nil"/>
              <w:bottom w:val="single" w:sz="4" w:space="0" w:color="auto"/>
              <w:right w:val="single" w:sz="4" w:space="0" w:color="auto"/>
            </w:tcBorders>
            <w:shd w:val="clear" w:color="000000" w:fill="FF0000"/>
            <w:noWrap/>
            <w:vAlign w:val="bottom"/>
            <w:hideMark/>
          </w:tcPr>
          <w:p w14:paraId="1EDB7BDE"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20</w:t>
            </w:r>
          </w:p>
        </w:tc>
        <w:tc>
          <w:tcPr>
            <w:tcW w:w="499" w:type="pct"/>
            <w:tcBorders>
              <w:top w:val="nil"/>
              <w:left w:val="nil"/>
              <w:bottom w:val="nil"/>
              <w:right w:val="nil"/>
            </w:tcBorders>
            <w:shd w:val="clear" w:color="auto" w:fill="auto"/>
            <w:noWrap/>
            <w:vAlign w:val="bottom"/>
            <w:hideMark/>
          </w:tcPr>
          <w:p w14:paraId="652BC94A" w14:textId="77777777" w:rsidR="00565D28" w:rsidRPr="00565D28" w:rsidRDefault="00565D28" w:rsidP="00565D28">
            <w:pPr>
              <w:spacing w:after="0" w:line="240" w:lineRule="auto"/>
              <w:jc w:val="right"/>
              <w:rPr>
                <w:rFonts w:ascii="Calibri" w:eastAsia="Times New Roman" w:hAnsi="Calibri" w:cs="Calibri"/>
                <w:color w:val="000000"/>
                <w:lang w:eastAsia="it-IT"/>
              </w:rPr>
            </w:pPr>
          </w:p>
        </w:tc>
        <w:tc>
          <w:tcPr>
            <w:tcW w:w="1422" w:type="pct"/>
            <w:tcBorders>
              <w:top w:val="nil"/>
              <w:left w:val="nil"/>
              <w:bottom w:val="nil"/>
              <w:right w:val="single" w:sz="4" w:space="0" w:color="auto"/>
            </w:tcBorders>
            <w:shd w:val="clear" w:color="auto" w:fill="auto"/>
            <w:vAlign w:val="center"/>
            <w:hideMark/>
          </w:tcPr>
          <w:p w14:paraId="5BD60D53" w14:textId="77777777" w:rsidR="00565D28" w:rsidRPr="009E526D" w:rsidRDefault="00565D28" w:rsidP="00565D28">
            <w:pPr>
              <w:spacing w:after="0" w:line="240" w:lineRule="auto"/>
              <w:rPr>
                <w:rFonts w:ascii="Garamond" w:eastAsia="Times New Roman" w:hAnsi="Garamond" w:cs="Calibri"/>
                <w:b/>
                <w:bCs/>
                <w:color w:val="000000"/>
                <w:sz w:val="18"/>
                <w:szCs w:val="18"/>
                <w:lang w:eastAsia="it-IT"/>
              </w:rPr>
            </w:pPr>
            <w:r w:rsidRPr="009E526D">
              <w:rPr>
                <w:rFonts w:ascii="Garamond" w:eastAsia="Times New Roman" w:hAnsi="Garamond" w:cs="Calibri"/>
                <w:b/>
                <w:bCs/>
                <w:color w:val="000000"/>
                <w:sz w:val="18"/>
                <w:szCs w:val="18"/>
                <w:lang w:eastAsia="it-IT"/>
              </w:rPr>
              <w:t>R</w:t>
            </w:r>
            <w:r w:rsidRPr="009E526D">
              <w:rPr>
                <w:rFonts w:ascii="Garamond" w:eastAsia="Times New Roman" w:hAnsi="Garamond" w:cs="Calibri"/>
                <w:color w:val="000000"/>
                <w:sz w:val="18"/>
                <w:szCs w:val="18"/>
                <w:lang w:eastAsia="it-IT"/>
              </w:rPr>
              <w:t xml:space="preserve"> = Indice del rischio</w:t>
            </w:r>
          </w:p>
        </w:tc>
      </w:tr>
      <w:tr w:rsidR="00565D28" w:rsidRPr="00565D28" w14:paraId="041CABF3" w14:textId="77777777" w:rsidTr="00DA283D">
        <w:trPr>
          <w:gridAfter w:val="1"/>
          <w:wAfter w:w="89" w:type="pct"/>
          <w:trHeight w:val="284"/>
        </w:trPr>
        <w:tc>
          <w:tcPr>
            <w:tcW w:w="497" w:type="pct"/>
            <w:tcBorders>
              <w:top w:val="nil"/>
              <w:left w:val="single" w:sz="4" w:space="0" w:color="auto"/>
              <w:bottom w:val="nil"/>
              <w:right w:val="nil"/>
            </w:tcBorders>
            <w:shd w:val="clear" w:color="auto" w:fill="auto"/>
            <w:noWrap/>
            <w:vAlign w:val="bottom"/>
            <w:hideMark/>
          </w:tcPr>
          <w:p w14:paraId="09E75BB1" w14:textId="77777777" w:rsidR="00565D28" w:rsidRPr="00565D28" w:rsidRDefault="00565D28" w:rsidP="00565D28">
            <w:pPr>
              <w:spacing w:after="0" w:line="240" w:lineRule="auto"/>
              <w:rPr>
                <w:rFonts w:ascii="Gotham Light" w:eastAsia="Times New Roman" w:hAnsi="Gotham Light" w:cs="Calibri"/>
                <w:b/>
                <w:bCs/>
                <w:color w:val="000000"/>
                <w:sz w:val="20"/>
                <w:szCs w:val="20"/>
                <w:lang w:eastAsia="it-IT"/>
              </w:rPr>
            </w:pPr>
          </w:p>
        </w:tc>
        <w:tc>
          <w:tcPr>
            <w:tcW w:w="497" w:type="pct"/>
            <w:tcBorders>
              <w:top w:val="nil"/>
              <w:left w:val="single" w:sz="4" w:space="0" w:color="auto"/>
              <w:bottom w:val="single" w:sz="4" w:space="0" w:color="auto"/>
              <w:right w:val="single" w:sz="4" w:space="0" w:color="auto"/>
            </w:tcBorders>
            <w:shd w:val="clear" w:color="000000" w:fill="00B050"/>
            <w:noWrap/>
            <w:vAlign w:val="bottom"/>
            <w:hideMark/>
          </w:tcPr>
          <w:p w14:paraId="0BB54017"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3</w:t>
            </w:r>
          </w:p>
        </w:tc>
        <w:tc>
          <w:tcPr>
            <w:tcW w:w="498" w:type="pct"/>
            <w:tcBorders>
              <w:top w:val="nil"/>
              <w:left w:val="nil"/>
              <w:bottom w:val="single" w:sz="4" w:space="0" w:color="auto"/>
              <w:right w:val="single" w:sz="4" w:space="0" w:color="auto"/>
            </w:tcBorders>
            <w:shd w:val="clear" w:color="000000" w:fill="92D050"/>
            <w:noWrap/>
            <w:vAlign w:val="bottom"/>
            <w:hideMark/>
          </w:tcPr>
          <w:p w14:paraId="43685AF7"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6</w:t>
            </w:r>
          </w:p>
        </w:tc>
        <w:tc>
          <w:tcPr>
            <w:tcW w:w="499" w:type="pct"/>
            <w:tcBorders>
              <w:top w:val="nil"/>
              <w:left w:val="nil"/>
              <w:bottom w:val="single" w:sz="4" w:space="0" w:color="auto"/>
              <w:right w:val="single" w:sz="4" w:space="0" w:color="auto"/>
            </w:tcBorders>
            <w:shd w:val="clear" w:color="000000" w:fill="FFFF00"/>
            <w:noWrap/>
            <w:vAlign w:val="bottom"/>
            <w:hideMark/>
          </w:tcPr>
          <w:p w14:paraId="1576A0CE"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9</w:t>
            </w:r>
          </w:p>
        </w:tc>
        <w:tc>
          <w:tcPr>
            <w:tcW w:w="499" w:type="pct"/>
            <w:tcBorders>
              <w:top w:val="nil"/>
              <w:left w:val="nil"/>
              <w:bottom w:val="single" w:sz="4" w:space="0" w:color="auto"/>
              <w:right w:val="single" w:sz="4" w:space="0" w:color="auto"/>
            </w:tcBorders>
            <w:shd w:val="clear" w:color="000000" w:fill="FFFF00"/>
            <w:noWrap/>
            <w:vAlign w:val="bottom"/>
            <w:hideMark/>
          </w:tcPr>
          <w:p w14:paraId="0303C7F8"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12</w:t>
            </w:r>
          </w:p>
        </w:tc>
        <w:tc>
          <w:tcPr>
            <w:tcW w:w="499" w:type="pct"/>
            <w:tcBorders>
              <w:top w:val="nil"/>
              <w:left w:val="nil"/>
              <w:bottom w:val="single" w:sz="4" w:space="0" w:color="auto"/>
              <w:right w:val="single" w:sz="4" w:space="0" w:color="auto"/>
            </w:tcBorders>
            <w:shd w:val="clear" w:color="000000" w:fill="FFC000"/>
            <w:noWrap/>
            <w:vAlign w:val="bottom"/>
            <w:hideMark/>
          </w:tcPr>
          <w:p w14:paraId="431B335C"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15</w:t>
            </w:r>
          </w:p>
        </w:tc>
        <w:tc>
          <w:tcPr>
            <w:tcW w:w="499" w:type="pct"/>
            <w:tcBorders>
              <w:top w:val="nil"/>
              <w:left w:val="nil"/>
              <w:bottom w:val="nil"/>
              <w:right w:val="nil"/>
            </w:tcBorders>
            <w:shd w:val="clear" w:color="auto" w:fill="auto"/>
            <w:noWrap/>
            <w:vAlign w:val="bottom"/>
            <w:hideMark/>
          </w:tcPr>
          <w:p w14:paraId="058E2818" w14:textId="77777777" w:rsidR="00565D28" w:rsidRPr="00565D28" w:rsidRDefault="00565D28" w:rsidP="00565D28">
            <w:pPr>
              <w:spacing w:after="0" w:line="240" w:lineRule="auto"/>
              <w:jc w:val="right"/>
              <w:rPr>
                <w:rFonts w:ascii="Calibri" w:eastAsia="Times New Roman" w:hAnsi="Calibri" w:cs="Calibri"/>
                <w:color w:val="000000"/>
                <w:lang w:eastAsia="it-IT"/>
              </w:rPr>
            </w:pPr>
          </w:p>
        </w:tc>
        <w:tc>
          <w:tcPr>
            <w:tcW w:w="1422" w:type="pct"/>
            <w:tcBorders>
              <w:top w:val="nil"/>
              <w:left w:val="nil"/>
              <w:bottom w:val="nil"/>
              <w:right w:val="single" w:sz="4" w:space="0" w:color="auto"/>
            </w:tcBorders>
            <w:shd w:val="clear" w:color="auto" w:fill="auto"/>
            <w:vAlign w:val="center"/>
            <w:hideMark/>
          </w:tcPr>
          <w:p w14:paraId="39A4D8C4" w14:textId="77777777" w:rsidR="00565D28" w:rsidRPr="009E526D" w:rsidRDefault="00565D28" w:rsidP="00565D28">
            <w:pPr>
              <w:spacing w:after="0" w:line="240" w:lineRule="auto"/>
              <w:rPr>
                <w:rFonts w:ascii="Garamond" w:eastAsia="Times New Roman" w:hAnsi="Garamond" w:cs="Calibri"/>
                <w:b/>
                <w:bCs/>
                <w:color w:val="000000"/>
                <w:sz w:val="18"/>
                <w:szCs w:val="18"/>
                <w:lang w:eastAsia="it-IT"/>
              </w:rPr>
            </w:pPr>
            <w:r w:rsidRPr="009E526D">
              <w:rPr>
                <w:rFonts w:ascii="Garamond" w:eastAsia="Times New Roman" w:hAnsi="Garamond" w:cs="Calibri"/>
                <w:b/>
                <w:bCs/>
                <w:color w:val="000000"/>
                <w:sz w:val="18"/>
                <w:szCs w:val="18"/>
                <w:lang w:eastAsia="it-IT"/>
              </w:rPr>
              <w:t>P</w:t>
            </w:r>
            <w:r w:rsidRPr="009E526D">
              <w:rPr>
                <w:rFonts w:ascii="Garamond" w:eastAsia="Times New Roman" w:hAnsi="Garamond" w:cs="Calibri"/>
                <w:color w:val="000000"/>
                <w:sz w:val="18"/>
                <w:szCs w:val="18"/>
                <w:lang w:eastAsia="it-IT"/>
              </w:rPr>
              <w:t xml:space="preserve"> = Probabilità o frequenza del verificarsi dell’evento</w:t>
            </w:r>
          </w:p>
        </w:tc>
      </w:tr>
      <w:tr w:rsidR="00565D28" w:rsidRPr="00565D28" w14:paraId="10345EDE" w14:textId="77777777" w:rsidTr="00DA283D">
        <w:trPr>
          <w:gridAfter w:val="1"/>
          <w:wAfter w:w="89" w:type="pct"/>
          <w:trHeight w:val="234"/>
        </w:trPr>
        <w:tc>
          <w:tcPr>
            <w:tcW w:w="497" w:type="pct"/>
            <w:tcBorders>
              <w:top w:val="nil"/>
              <w:left w:val="single" w:sz="4" w:space="0" w:color="auto"/>
              <w:bottom w:val="nil"/>
              <w:right w:val="nil"/>
            </w:tcBorders>
            <w:shd w:val="clear" w:color="auto" w:fill="auto"/>
            <w:noWrap/>
            <w:vAlign w:val="bottom"/>
            <w:hideMark/>
          </w:tcPr>
          <w:p w14:paraId="5AFD4D76" w14:textId="77777777" w:rsidR="00565D28" w:rsidRPr="00565D28" w:rsidRDefault="00565D28" w:rsidP="00565D28">
            <w:pPr>
              <w:spacing w:after="0" w:line="240" w:lineRule="auto"/>
              <w:rPr>
                <w:rFonts w:ascii="Gotham Light" w:eastAsia="Times New Roman" w:hAnsi="Gotham Light" w:cs="Calibri"/>
                <w:b/>
                <w:bCs/>
                <w:color w:val="000000"/>
                <w:sz w:val="20"/>
                <w:szCs w:val="20"/>
                <w:lang w:eastAsia="it-IT"/>
              </w:rPr>
            </w:pPr>
          </w:p>
        </w:tc>
        <w:tc>
          <w:tcPr>
            <w:tcW w:w="497" w:type="pct"/>
            <w:tcBorders>
              <w:top w:val="nil"/>
              <w:left w:val="single" w:sz="4" w:space="0" w:color="auto"/>
              <w:bottom w:val="single" w:sz="4" w:space="0" w:color="auto"/>
              <w:right w:val="single" w:sz="4" w:space="0" w:color="auto"/>
            </w:tcBorders>
            <w:shd w:val="clear" w:color="000000" w:fill="00B050"/>
            <w:noWrap/>
            <w:vAlign w:val="bottom"/>
            <w:hideMark/>
          </w:tcPr>
          <w:p w14:paraId="42918CF2"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2</w:t>
            </w:r>
          </w:p>
        </w:tc>
        <w:tc>
          <w:tcPr>
            <w:tcW w:w="498" w:type="pct"/>
            <w:tcBorders>
              <w:top w:val="nil"/>
              <w:left w:val="nil"/>
              <w:bottom w:val="single" w:sz="4" w:space="0" w:color="auto"/>
              <w:right w:val="single" w:sz="4" w:space="0" w:color="auto"/>
            </w:tcBorders>
            <w:shd w:val="clear" w:color="auto" w:fill="92D050"/>
            <w:noWrap/>
            <w:vAlign w:val="bottom"/>
            <w:hideMark/>
          </w:tcPr>
          <w:p w14:paraId="64D8FB06"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4</w:t>
            </w:r>
          </w:p>
        </w:tc>
        <w:tc>
          <w:tcPr>
            <w:tcW w:w="499" w:type="pct"/>
            <w:tcBorders>
              <w:top w:val="nil"/>
              <w:left w:val="nil"/>
              <w:bottom w:val="single" w:sz="4" w:space="0" w:color="auto"/>
              <w:right w:val="single" w:sz="4" w:space="0" w:color="auto"/>
            </w:tcBorders>
            <w:shd w:val="clear" w:color="000000" w:fill="92D050"/>
            <w:noWrap/>
            <w:vAlign w:val="bottom"/>
            <w:hideMark/>
          </w:tcPr>
          <w:p w14:paraId="73231095"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6</w:t>
            </w:r>
          </w:p>
        </w:tc>
        <w:tc>
          <w:tcPr>
            <w:tcW w:w="499" w:type="pct"/>
            <w:tcBorders>
              <w:top w:val="nil"/>
              <w:left w:val="nil"/>
              <w:bottom w:val="single" w:sz="4" w:space="0" w:color="auto"/>
              <w:right w:val="single" w:sz="4" w:space="0" w:color="auto"/>
            </w:tcBorders>
            <w:shd w:val="clear" w:color="000000" w:fill="92D050"/>
            <w:noWrap/>
            <w:vAlign w:val="bottom"/>
            <w:hideMark/>
          </w:tcPr>
          <w:p w14:paraId="23402A8D"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8</w:t>
            </w:r>
          </w:p>
        </w:tc>
        <w:tc>
          <w:tcPr>
            <w:tcW w:w="499" w:type="pct"/>
            <w:tcBorders>
              <w:top w:val="nil"/>
              <w:left w:val="nil"/>
              <w:bottom w:val="single" w:sz="4" w:space="0" w:color="auto"/>
              <w:right w:val="single" w:sz="4" w:space="0" w:color="auto"/>
            </w:tcBorders>
            <w:shd w:val="clear" w:color="000000" w:fill="FFFF00"/>
            <w:noWrap/>
            <w:vAlign w:val="bottom"/>
            <w:hideMark/>
          </w:tcPr>
          <w:p w14:paraId="6FAD37F7"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10</w:t>
            </w:r>
          </w:p>
        </w:tc>
        <w:tc>
          <w:tcPr>
            <w:tcW w:w="499" w:type="pct"/>
            <w:tcBorders>
              <w:top w:val="nil"/>
              <w:left w:val="nil"/>
              <w:bottom w:val="nil"/>
              <w:right w:val="nil"/>
            </w:tcBorders>
            <w:shd w:val="clear" w:color="auto" w:fill="auto"/>
            <w:noWrap/>
            <w:vAlign w:val="bottom"/>
            <w:hideMark/>
          </w:tcPr>
          <w:p w14:paraId="6348E947" w14:textId="77777777" w:rsidR="00565D28" w:rsidRPr="00565D28" w:rsidRDefault="00565D28" w:rsidP="00565D28">
            <w:pPr>
              <w:spacing w:after="0" w:line="240" w:lineRule="auto"/>
              <w:jc w:val="right"/>
              <w:rPr>
                <w:rFonts w:ascii="Calibri" w:eastAsia="Times New Roman" w:hAnsi="Calibri" w:cs="Calibri"/>
                <w:color w:val="000000"/>
                <w:lang w:eastAsia="it-IT"/>
              </w:rPr>
            </w:pPr>
          </w:p>
        </w:tc>
        <w:tc>
          <w:tcPr>
            <w:tcW w:w="1422" w:type="pct"/>
            <w:tcBorders>
              <w:top w:val="nil"/>
              <w:left w:val="nil"/>
              <w:bottom w:val="nil"/>
              <w:right w:val="single" w:sz="4" w:space="0" w:color="auto"/>
            </w:tcBorders>
            <w:shd w:val="clear" w:color="auto" w:fill="auto"/>
            <w:vAlign w:val="center"/>
            <w:hideMark/>
          </w:tcPr>
          <w:p w14:paraId="7F2A2E04" w14:textId="77777777" w:rsidR="00565D28" w:rsidRPr="009E526D" w:rsidRDefault="00565D28" w:rsidP="00565D28">
            <w:pPr>
              <w:spacing w:after="0" w:line="240" w:lineRule="auto"/>
              <w:rPr>
                <w:rFonts w:ascii="Garamond" w:eastAsia="Times New Roman" w:hAnsi="Garamond" w:cs="Calibri"/>
                <w:b/>
                <w:bCs/>
                <w:color w:val="000000"/>
                <w:sz w:val="18"/>
                <w:szCs w:val="18"/>
                <w:lang w:eastAsia="it-IT"/>
              </w:rPr>
            </w:pPr>
            <w:r w:rsidRPr="009E526D">
              <w:rPr>
                <w:rFonts w:ascii="Garamond" w:eastAsia="Times New Roman" w:hAnsi="Garamond" w:cs="Calibri"/>
                <w:b/>
                <w:bCs/>
                <w:color w:val="000000"/>
                <w:sz w:val="18"/>
                <w:szCs w:val="18"/>
                <w:lang w:eastAsia="it-IT"/>
              </w:rPr>
              <w:t>I</w:t>
            </w:r>
            <w:r w:rsidRPr="009E526D">
              <w:rPr>
                <w:rFonts w:ascii="Garamond" w:eastAsia="Times New Roman" w:hAnsi="Garamond" w:cs="Calibri"/>
                <w:color w:val="000000"/>
                <w:sz w:val="18"/>
                <w:szCs w:val="18"/>
                <w:lang w:eastAsia="it-IT"/>
              </w:rPr>
              <w:t xml:space="preserve"> = Ponderazione delle conseguenze derivanti (impatto)</w:t>
            </w:r>
          </w:p>
        </w:tc>
      </w:tr>
      <w:tr w:rsidR="00565D28" w:rsidRPr="00565D28" w14:paraId="6AE39BF0" w14:textId="77777777" w:rsidTr="00DA283D">
        <w:trPr>
          <w:trHeight w:val="102"/>
        </w:trPr>
        <w:tc>
          <w:tcPr>
            <w:tcW w:w="497" w:type="pct"/>
            <w:tcBorders>
              <w:top w:val="nil"/>
              <w:left w:val="single" w:sz="4" w:space="0" w:color="auto"/>
              <w:bottom w:val="nil"/>
              <w:right w:val="nil"/>
            </w:tcBorders>
            <w:shd w:val="clear" w:color="auto" w:fill="auto"/>
            <w:noWrap/>
            <w:vAlign w:val="bottom"/>
            <w:hideMark/>
          </w:tcPr>
          <w:p w14:paraId="4428379A" w14:textId="77777777" w:rsidR="00565D28" w:rsidRPr="00565D28" w:rsidRDefault="00565D28" w:rsidP="00565D28">
            <w:pPr>
              <w:spacing w:after="0" w:line="240" w:lineRule="auto"/>
              <w:rPr>
                <w:rFonts w:ascii="Gotham Light" w:eastAsia="Times New Roman" w:hAnsi="Gotham Light" w:cs="Calibri"/>
                <w:b/>
                <w:bCs/>
                <w:color w:val="000000"/>
                <w:sz w:val="20"/>
                <w:szCs w:val="20"/>
                <w:lang w:eastAsia="it-IT"/>
              </w:rPr>
            </w:pPr>
          </w:p>
        </w:tc>
        <w:tc>
          <w:tcPr>
            <w:tcW w:w="497" w:type="pct"/>
            <w:tcBorders>
              <w:top w:val="nil"/>
              <w:left w:val="single" w:sz="4" w:space="0" w:color="auto"/>
              <w:bottom w:val="single" w:sz="4" w:space="0" w:color="auto"/>
              <w:right w:val="single" w:sz="4" w:space="0" w:color="auto"/>
            </w:tcBorders>
            <w:shd w:val="clear" w:color="000000" w:fill="00B050"/>
            <w:noWrap/>
            <w:vAlign w:val="bottom"/>
            <w:hideMark/>
          </w:tcPr>
          <w:p w14:paraId="55E9D753"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1</w:t>
            </w:r>
          </w:p>
        </w:tc>
        <w:tc>
          <w:tcPr>
            <w:tcW w:w="498" w:type="pct"/>
            <w:tcBorders>
              <w:top w:val="nil"/>
              <w:left w:val="nil"/>
              <w:bottom w:val="single" w:sz="4" w:space="0" w:color="auto"/>
              <w:right w:val="single" w:sz="4" w:space="0" w:color="auto"/>
            </w:tcBorders>
            <w:shd w:val="clear" w:color="000000" w:fill="00B050"/>
            <w:noWrap/>
            <w:vAlign w:val="bottom"/>
            <w:hideMark/>
          </w:tcPr>
          <w:p w14:paraId="06F676D4"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2</w:t>
            </w:r>
          </w:p>
        </w:tc>
        <w:tc>
          <w:tcPr>
            <w:tcW w:w="499" w:type="pct"/>
            <w:tcBorders>
              <w:top w:val="nil"/>
              <w:left w:val="nil"/>
              <w:bottom w:val="single" w:sz="4" w:space="0" w:color="auto"/>
              <w:right w:val="single" w:sz="4" w:space="0" w:color="auto"/>
            </w:tcBorders>
            <w:shd w:val="clear" w:color="000000" w:fill="00B050"/>
            <w:noWrap/>
            <w:vAlign w:val="bottom"/>
            <w:hideMark/>
          </w:tcPr>
          <w:p w14:paraId="3839572B"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3</w:t>
            </w:r>
          </w:p>
        </w:tc>
        <w:tc>
          <w:tcPr>
            <w:tcW w:w="499" w:type="pct"/>
            <w:tcBorders>
              <w:top w:val="nil"/>
              <w:left w:val="nil"/>
              <w:bottom w:val="single" w:sz="4" w:space="0" w:color="auto"/>
              <w:right w:val="single" w:sz="4" w:space="0" w:color="auto"/>
            </w:tcBorders>
            <w:shd w:val="clear" w:color="000000" w:fill="92D050"/>
            <w:noWrap/>
            <w:vAlign w:val="bottom"/>
            <w:hideMark/>
          </w:tcPr>
          <w:p w14:paraId="0AD1D049"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4</w:t>
            </w:r>
          </w:p>
        </w:tc>
        <w:tc>
          <w:tcPr>
            <w:tcW w:w="499" w:type="pct"/>
            <w:tcBorders>
              <w:top w:val="nil"/>
              <w:left w:val="nil"/>
              <w:bottom w:val="single" w:sz="4" w:space="0" w:color="auto"/>
              <w:right w:val="single" w:sz="4" w:space="0" w:color="auto"/>
            </w:tcBorders>
            <w:shd w:val="clear" w:color="000000" w:fill="FFFF00"/>
            <w:noWrap/>
            <w:vAlign w:val="bottom"/>
            <w:hideMark/>
          </w:tcPr>
          <w:p w14:paraId="2E3034D2" w14:textId="77777777" w:rsidR="00565D28" w:rsidRPr="00565D28" w:rsidRDefault="00565D28" w:rsidP="00565D28">
            <w:pPr>
              <w:spacing w:after="0" w:line="240" w:lineRule="auto"/>
              <w:jc w:val="right"/>
              <w:rPr>
                <w:rFonts w:ascii="Calibri" w:eastAsia="Times New Roman" w:hAnsi="Calibri" w:cs="Calibri"/>
                <w:color w:val="000000"/>
                <w:lang w:eastAsia="it-IT"/>
              </w:rPr>
            </w:pPr>
            <w:r w:rsidRPr="00565D28">
              <w:rPr>
                <w:rFonts w:ascii="Calibri" w:eastAsia="Times New Roman" w:hAnsi="Calibri" w:cs="Calibri"/>
                <w:color w:val="000000"/>
                <w:lang w:eastAsia="it-IT"/>
              </w:rPr>
              <w:t>5</w:t>
            </w:r>
          </w:p>
        </w:tc>
        <w:tc>
          <w:tcPr>
            <w:tcW w:w="499" w:type="pct"/>
            <w:tcBorders>
              <w:top w:val="nil"/>
              <w:left w:val="nil"/>
              <w:bottom w:val="nil"/>
              <w:right w:val="nil"/>
            </w:tcBorders>
            <w:shd w:val="clear" w:color="auto" w:fill="auto"/>
            <w:noWrap/>
            <w:vAlign w:val="bottom"/>
            <w:hideMark/>
          </w:tcPr>
          <w:p w14:paraId="0A672DE4" w14:textId="77777777" w:rsidR="00565D28" w:rsidRPr="00565D28" w:rsidRDefault="00565D28" w:rsidP="00565D28">
            <w:pPr>
              <w:spacing w:after="0" w:line="240" w:lineRule="auto"/>
              <w:jc w:val="right"/>
              <w:rPr>
                <w:rFonts w:ascii="Calibri" w:eastAsia="Times New Roman" w:hAnsi="Calibri" w:cs="Calibri"/>
                <w:color w:val="000000"/>
                <w:lang w:eastAsia="it-IT"/>
              </w:rPr>
            </w:pPr>
          </w:p>
        </w:tc>
        <w:tc>
          <w:tcPr>
            <w:tcW w:w="1422" w:type="pct"/>
            <w:tcBorders>
              <w:top w:val="nil"/>
              <w:left w:val="nil"/>
              <w:bottom w:val="nil"/>
              <w:right w:val="nil"/>
            </w:tcBorders>
            <w:shd w:val="clear" w:color="auto" w:fill="auto"/>
            <w:noWrap/>
            <w:vAlign w:val="bottom"/>
            <w:hideMark/>
          </w:tcPr>
          <w:p w14:paraId="33582FE3"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89" w:type="pct"/>
            <w:tcBorders>
              <w:top w:val="nil"/>
              <w:left w:val="nil"/>
              <w:bottom w:val="nil"/>
              <w:right w:val="single" w:sz="4" w:space="0" w:color="auto"/>
            </w:tcBorders>
            <w:shd w:val="clear" w:color="auto" w:fill="auto"/>
            <w:noWrap/>
            <w:vAlign w:val="bottom"/>
            <w:hideMark/>
          </w:tcPr>
          <w:p w14:paraId="5931E9CF"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r>
      <w:tr w:rsidR="00565D28" w:rsidRPr="00565D28" w14:paraId="2792BFB2" w14:textId="77777777" w:rsidTr="00DA283D">
        <w:trPr>
          <w:trHeight w:val="314"/>
        </w:trPr>
        <w:tc>
          <w:tcPr>
            <w:tcW w:w="497" w:type="pct"/>
            <w:tcBorders>
              <w:top w:val="nil"/>
              <w:left w:val="single" w:sz="4" w:space="0" w:color="auto"/>
              <w:bottom w:val="single" w:sz="4" w:space="0" w:color="auto"/>
              <w:right w:val="nil"/>
            </w:tcBorders>
            <w:shd w:val="clear" w:color="auto" w:fill="auto"/>
            <w:noWrap/>
            <w:vAlign w:val="bottom"/>
            <w:hideMark/>
          </w:tcPr>
          <w:p w14:paraId="38E23C0D"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497" w:type="pct"/>
            <w:tcBorders>
              <w:top w:val="nil"/>
              <w:left w:val="nil"/>
              <w:bottom w:val="single" w:sz="4" w:space="0" w:color="auto"/>
              <w:right w:val="nil"/>
            </w:tcBorders>
            <w:shd w:val="clear" w:color="auto" w:fill="auto"/>
            <w:noWrap/>
            <w:vAlign w:val="bottom"/>
            <w:hideMark/>
          </w:tcPr>
          <w:p w14:paraId="5A268DEC"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498" w:type="pct"/>
            <w:tcBorders>
              <w:top w:val="nil"/>
              <w:left w:val="nil"/>
              <w:bottom w:val="single" w:sz="4" w:space="0" w:color="auto"/>
              <w:right w:val="nil"/>
            </w:tcBorders>
            <w:shd w:val="clear" w:color="auto" w:fill="auto"/>
            <w:noWrap/>
            <w:vAlign w:val="bottom"/>
            <w:hideMark/>
          </w:tcPr>
          <w:p w14:paraId="141F705A"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499" w:type="pct"/>
            <w:tcBorders>
              <w:top w:val="nil"/>
              <w:left w:val="nil"/>
              <w:bottom w:val="single" w:sz="4" w:space="0" w:color="auto"/>
              <w:right w:val="nil"/>
            </w:tcBorders>
            <w:shd w:val="clear" w:color="auto" w:fill="auto"/>
            <w:noWrap/>
            <w:vAlign w:val="bottom"/>
            <w:hideMark/>
          </w:tcPr>
          <w:p w14:paraId="1525E977"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499" w:type="pct"/>
            <w:tcBorders>
              <w:top w:val="nil"/>
              <w:left w:val="nil"/>
              <w:bottom w:val="single" w:sz="4" w:space="0" w:color="auto"/>
              <w:right w:val="nil"/>
            </w:tcBorders>
            <w:shd w:val="clear" w:color="auto" w:fill="auto"/>
            <w:noWrap/>
            <w:vAlign w:val="bottom"/>
            <w:hideMark/>
          </w:tcPr>
          <w:p w14:paraId="6A7A399E"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499" w:type="pct"/>
            <w:tcBorders>
              <w:top w:val="nil"/>
              <w:left w:val="nil"/>
              <w:bottom w:val="single" w:sz="4" w:space="0" w:color="auto"/>
              <w:right w:val="nil"/>
            </w:tcBorders>
            <w:shd w:val="clear" w:color="auto" w:fill="auto"/>
            <w:noWrap/>
            <w:vAlign w:val="center"/>
            <w:hideMark/>
          </w:tcPr>
          <w:p w14:paraId="6E0155DC" w14:textId="77777777" w:rsidR="00565D28" w:rsidRPr="00565D28" w:rsidRDefault="00565D28" w:rsidP="00565D28">
            <w:pPr>
              <w:spacing w:after="0" w:line="240" w:lineRule="auto"/>
              <w:jc w:val="center"/>
              <w:rPr>
                <w:rFonts w:ascii="Gotham Book" w:eastAsia="Times New Roman" w:hAnsi="Gotham Book" w:cs="Calibri"/>
                <w:b/>
                <w:color w:val="000000"/>
                <w:lang w:eastAsia="it-IT"/>
              </w:rPr>
            </w:pPr>
            <w:r w:rsidRPr="00565D28">
              <w:rPr>
                <w:rFonts w:ascii="Gotham Book" w:eastAsia="Times New Roman" w:hAnsi="Gotham Book" w:cs="Calibri"/>
                <w:b/>
                <w:color w:val="000000"/>
                <w:lang w:eastAsia="it-IT"/>
              </w:rPr>
              <w:t>I</w:t>
            </w:r>
          </w:p>
        </w:tc>
        <w:tc>
          <w:tcPr>
            <w:tcW w:w="499" w:type="pct"/>
            <w:tcBorders>
              <w:top w:val="nil"/>
              <w:left w:val="nil"/>
              <w:bottom w:val="single" w:sz="4" w:space="0" w:color="auto"/>
              <w:right w:val="nil"/>
            </w:tcBorders>
            <w:shd w:val="clear" w:color="auto" w:fill="auto"/>
            <w:noWrap/>
            <w:vAlign w:val="bottom"/>
            <w:hideMark/>
          </w:tcPr>
          <w:p w14:paraId="4447D59A" w14:textId="77777777" w:rsidR="00565D28" w:rsidRPr="00565D28" w:rsidRDefault="00565D28" w:rsidP="00565D28">
            <w:pPr>
              <w:spacing w:after="0" w:line="240" w:lineRule="auto"/>
              <w:jc w:val="center"/>
              <w:rPr>
                <w:rFonts w:ascii="Gotham Book" w:eastAsia="Times New Roman" w:hAnsi="Gotham Book" w:cs="Calibri"/>
                <w:color w:val="000000"/>
                <w:lang w:eastAsia="it-IT"/>
              </w:rPr>
            </w:pPr>
          </w:p>
        </w:tc>
        <w:tc>
          <w:tcPr>
            <w:tcW w:w="1422" w:type="pct"/>
            <w:tcBorders>
              <w:top w:val="nil"/>
              <w:left w:val="nil"/>
              <w:bottom w:val="single" w:sz="4" w:space="0" w:color="auto"/>
              <w:right w:val="nil"/>
            </w:tcBorders>
            <w:shd w:val="clear" w:color="auto" w:fill="auto"/>
            <w:noWrap/>
            <w:vAlign w:val="bottom"/>
            <w:hideMark/>
          </w:tcPr>
          <w:p w14:paraId="12DA5861"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c>
          <w:tcPr>
            <w:tcW w:w="89" w:type="pct"/>
            <w:tcBorders>
              <w:top w:val="nil"/>
              <w:left w:val="nil"/>
              <w:bottom w:val="single" w:sz="4" w:space="0" w:color="auto"/>
              <w:right w:val="single" w:sz="4" w:space="0" w:color="auto"/>
            </w:tcBorders>
            <w:shd w:val="clear" w:color="auto" w:fill="auto"/>
            <w:noWrap/>
            <w:vAlign w:val="bottom"/>
            <w:hideMark/>
          </w:tcPr>
          <w:p w14:paraId="5D7D3623" w14:textId="77777777" w:rsidR="00565D28" w:rsidRPr="00565D28" w:rsidRDefault="00565D28" w:rsidP="00565D28">
            <w:pPr>
              <w:spacing w:after="0" w:line="240" w:lineRule="auto"/>
              <w:rPr>
                <w:rFonts w:ascii="Times New Roman" w:eastAsia="Times New Roman" w:hAnsi="Times New Roman" w:cs="Times New Roman"/>
                <w:sz w:val="20"/>
                <w:szCs w:val="20"/>
                <w:lang w:eastAsia="it-IT"/>
              </w:rPr>
            </w:pPr>
          </w:p>
        </w:tc>
      </w:tr>
    </w:tbl>
    <w:p w14:paraId="01EE4F6D" w14:textId="77777777" w:rsidR="005569CC" w:rsidRDefault="005569CC" w:rsidP="009E526D">
      <w:pPr>
        <w:pStyle w:val="Titolo2"/>
        <w:spacing w:before="120" w:after="120" w:line="240" w:lineRule="auto"/>
        <w:rPr>
          <w:bCs w:val="0"/>
          <w:color w:val="00263E"/>
          <w:szCs w:val="24"/>
          <w:lang w:eastAsia="it-IT"/>
        </w:rPr>
      </w:pPr>
      <w:bookmarkStart w:id="10" w:name="_Toc875887"/>
    </w:p>
    <w:p w14:paraId="0C621D7D" w14:textId="77777777" w:rsidR="005569CC" w:rsidRDefault="005569CC" w:rsidP="009E526D">
      <w:pPr>
        <w:pStyle w:val="Titolo2"/>
        <w:spacing w:before="120" w:after="120" w:line="240" w:lineRule="auto"/>
        <w:rPr>
          <w:bCs w:val="0"/>
          <w:color w:val="00263E"/>
          <w:szCs w:val="24"/>
          <w:lang w:eastAsia="it-IT"/>
        </w:rPr>
      </w:pPr>
    </w:p>
    <w:p w14:paraId="6B820F95" w14:textId="77777777" w:rsidR="005569CC" w:rsidRDefault="005569CC" w:rsidP="009E526D">
      <w:pPr>
        <w:pStyle w:val="Titolo2"/>
        <w:spacing w:before="120" w:after="120" w:line="240" w:lineRule="auto"/>
        <w:rPr>
          <w:bCs w:val="0"/>
          <w:color w:val="00263E"/>
          <w:szCs w:val="24"/>
          <w:lang w:eastAsia="it-IT"/>
        </w:rPr>
      </w:pPr>
    </w:p>
    <w:p w14:paraId="52DD2D8B" w14:textId="4911D2AD" w:rsidR="005569CC" w:rsidRDefault="005569CC" w:rsidP="009E526D">
      <w:pPr>
        <w:pStyle w:val="Titolo2"/>
        <w:spacing w:before="120" w:after="120" w:line="240" w:lineRule="auto"/>
        <w:rPr>
          <w:bCs w:val="0"/>
          <w:color w:val="00263E"/>
          <w:szCs w:val="24"/>
          <w:lang w:eastAsia="it-IT"/>
        </w:rPr>
      </w:pPr>
      <w:r>
        <w:rPr>
          <w:bCs w:val="0"/>
          <w:color w:val="00263E"/>
          <w:szCs w:val="24"/>
          <w:lang w:eastAsia="it-IT"/>
        </w:rPr>
        <w:br w:type="page"/>
      </w:r>
    </w:p>
    <w:p w14:paraId="409D0B79" w14:textId="0A28FC66" w:rsidR="00CF2E12" w:rsidRPr="009E526D" w:rsidRDefault="00CF2E12" w:rsidP="009E526D">
      <w:pPr>
        <w:pStyle w:val="Titolo2"/>
        <w:spacing w:before="120" w:after="120" w:line="240" w:lineRule="auto"/>
        <w:rPr>
          <w:rFonts w:ascii="Garamond" w:hAnsi="Garamond"/>
          <w:bCs w:val="0"/>
          <w:color w:val="00263E"/>
          <w:sz w:val="22"/>
          <w:szCs w:val="22"/>
          <w:lang w:eastAsia="it-IT"/>
        </w:rPr>
      </w:pPr>
      <w:r w:rsidRPr="00A36180">
        <w:rPr>
          <w:bCs w:val="0"/>
          <w:color w:val="00263E"/>
          <w:szCs w:val="24"/>
          <w:lang w:eastAsia="it-IT"/>
        </w:rPr>
        <w:lastRenderedPageBreak/>
        <w:t>5.</w:t>
      </w:r>
      <w:r w:rsidRPr="009E526D">
        <w:rPr>
          <w:rFonts w:ascii="Garamond" w:hAnsi="Garamond"/>
          <w:bCs w:val="0"/>
          <w:color w:val="00263E"/>
          <w:sz w:val="22"/>
          <w:szCs w:val="22"/>
          <w:lang w:eastAsia="it-IT"/>
        </w:rPr>
        <w:t>1 Valutazione dell’indice di rischio (R)</w:t>
      </w:r>
      <w:bookmarkEnd w:id="10"/>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2115"/>
        <w:gridCol w:w="3095"/>
        <w:gridCol w:w="3930"/>
      </w:tblGrid>
      <w:tr w:rsidR="00BB1F9B" w:rsidRPr="00EC659E" w14:paraId="6DE84B6A" w14:textId="77777777" w:rsidTr="00C93954">
        <w:trPr>
          <w:jc w:val="center"/>
        </w:trPr>
        <w:tc>
          <w:tcPr>
            <w:tcW w:w="1157" w:type="pct"/>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tcPr>
          <w:p w14:paraId="5384CB75" w14:textId="77777777" w:rsidR="00BB1F9B" w:rsidRPr="009E526D" w:rsidRDefault="00BB1F9B" w:rsidP="009E526D">
            <w:pPr>
              <w:spacing w:after="0" w:line="240" w:lineRule="auto"/>
              <w:jc w:val="center"/>
              <w:rPr>
                <w:rFonts w:ascii="Garamond" w:eastAsia="Garamond" w:hAnsi="Garamond" w:cs="Garamond"/>
                <w:b/>
                <w:color w:val="FFFFFF" w:themeColor="background1"/>
                <w:sz w:val="18"/>
                <w:szCs w:val="18"/>
              </w:rPr>
            </w:pPr>
            <w:r w:rsidRPr="009E526D">
              <w:rPr>
                <w:rFonts w:ascii="Garamond" w:eastAsia="Garamond" w:hAnsi="Garamond" w:cs="Garamond"/>
                <w:b/>
                <w:color w:val="FFFFFF" w:themeColor="background1"/>
                <w:sz w:val="18"/>
                <w:szCs w:val="18"/>
              </w:rPr>
              <w:t>Range numerico</w:t>
            </w:r>
          </w:p>
        </w:tc>
        <w:tc>
          <w:tcPr>
            <w:tcW w:w="1693" w:type="pct"/>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tcPr>
          <w:p w14:paraId="287E1CED" w14:textId="77777777" w:rsidR="00BB1F9B" w:rsidRPr="009E526D" w:rsidRDefault="00BB1F9B" w:rsidP="009E526D">
            <w:pPr>
              <w:spacing w:after="0" w:line="240" w:lineRule="auto"/>
              <w:jc w:val="center"/>
              <w:rPr>
                <w:rFonts w:ascii="Garamond" w:eastAsia="Garamond" w:hAnsi="Garamond" w:cs="Garamond"/>
                <w:b/>
                <w:color w:val="FFFFFF" w:themeColor="background1"/>
                <w:sz w:val="18"/>
                <w:szCs w:val="18"/>
              </w:rPr>
            </w:pPr>
            <w:r w:rsidRPr="009E526D">
              <w:rPr>
                <w:rFonts w:ascii="Garamond" w:eastAsia="Garamond" w:hAnsi="Garamond" w:cs="Garamond"/>
                <w:b/>
                <w:color w:val="FFFFFF" w:themeColor="background1"/>
                <w:sz w:val="18"/>
                <w:szCs w:val="18"/>
              </w:rPr>
              <w:t>Livello</w:t>
            </w:r>
          </w:p>
        </w:tc>
        <w:tc>
          <w:tcPr>
            <w:tcW w:w="2150" w:type="pct"/>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tcPr>
          <w:p w14:paraId="09286646" w14:textId="77777777" w:rsidR="00BB1F9B" w:rsidRPr="009E526D" w:rsidRDefault="00BB1F9B" w:rsidP="009E526D">
            <w:pPr>
              <w:spacing w:after="0" w:line="240" w:lineRule="auto"/>
              <w:jc w:val="center"/>
              <w:rPr>
                <w:rFonts w:ascii="Garamond" w:eastAsia="Garamond" w:hAnsi="Garamond" w:cs="Garamond"/>
                <w:b/>
                <w:color w:val="FFFFFF" w:themeColor="background1"/>
                <w:sz w:val="18"/>
                <w:szCs w:val="18"/>
              </w:rPr>
            </w:pPr>
            <w:r w:rsidRPr="009E526D">
              <w:rPr>
                <w:rFonts w:ascii="Garamond" w:eastAsia="Garamond" w:hAnsi="Garamond" w:cs="Garamond"/>
                <w:b/>
                <w:color w:val="FFFFFF" w:themeColor="background1"/>
                <w:sz w:val="18"/>
                <w:szCs w:val="18"/>
              </w:rPr>
              <w:t>Misure di contenimento</w:t>
            </w:r>
          </w:p>
        </w:tc>
      </w:tr>
      <w:tr w:rsidR="00BB1F9B" w:rsidRPr="00EC659E" w14:paraId="5884BCB9" w14:textId="77777777" w:rsidTr="009E526D">
        <w:trPr>
          <w:trHeight w:val="145"/>
          <w:jc w:val="center"/>
        </w:trPr>
        <w:tc>
          <w:tcPr>
            <w:tcW w:w="1157"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42875E" w14:textId="135D4CA1" w:rsidR="00BB1F9B" w:rsidRPr="009E526D" w:rsidRDefault="00BB1F9B"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b/>
                <w:sz w:val="18"/>
                <w:szCs w:val="18"/>
              </w:rPr>
              <w:t xml:space="preserve">1 – </w:t>
            </w:r>
            <w:r w:rsidR="00565D28" w:rsidRPr="009E526D">
              <w:rPr>
                <w:rFonts w:ascii="Garamond" w:eastAsia="Garamond" w:hAnsi="Garamond" w:cs="Garamond"/>
                <w:b/>
                <w:sz w:val="18"/>
                <w:szCs w:val="18"/>
              </w:rPr>
              <w:t>3</w:t>
            </w:r>
          </w:p>
        </w:tc>
        <w:tc>
          <w:tcPr>
            <w:tcW w:w="1693" w:type="pct"/>
            <w:tcBorders>
              <w:bottom w:val="single" w:sz="8" w:space="0" w:color="000000"/>
              <w:right w:val="single" w:sz="8" w:space="0" w:color="000000"/>
            </w:tcBorders>
            <w:shd w:val="clear" w:color="auto" w:fill="00B050"/>
            <w:tcMar>
              <w:top w:w="100" w:type="dxa"/>
              <w:left w:w="100" w:type="dxa"/>
              <w:bottom w:w="100" w:type="dxa"/>
              <w:right w:w="100" w:type="dxa"/>
            </w:tcMar>
            <w:vAlign w:val="center"/>
          </w:tcPr>
          <w:p w14:paraId="7A4FDE10" w14:textId="77777777" w:rsidR="00BB1F9B" w:rsidRPr="009E526D" w:rsidRDefault="00BB1F9B"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b/>
                <w:sz w:val="18"/>
                <w:szCs w:val="18"/>
              </w:rPr>
              <w:t>Rischio basso</w:t>
            </w:r>
          </w:p>
        </w:tc>
        <w:tc>
          <w:tcPr>
            <w:tcW w:w="2150" w:type="pct"/>
            <w:tcBorders>
              <w:bottom w:val="single" w:sz="8" w:space="0" w:color="000000"/>
              <w:right w:val="single" w:sz="8" w:space="0" w:color="000000"/>
            </w:tcBorders>
            <w:shd w:val="clear" w:color="auto" w:fill="auto"/>
            <w:tcMar>
              <w:top w:w="100" w:type="dxa"/>
              <w:left w:w="100" w:type="dxa"/>
              <w:bottom w:w="100" w:type="dxa"/>
              <w:right w:w="100" w:type="dxa"/>
            </w:tcMar>
          </w:tcPr>
          <w:p w14:paraId="6506FF80" w14:textId="77777777" w:rsidR="00BB1F9B" w:rsidRPr="009E526D" w:rsidRDefault="00BB1F9B"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Nessuna AC specifica, consolidamento dei livelli di Rischio, valutazione eventuali miglioramenti.</w:t>
            </w:r>
          </w:p>
        </w:tc>
      </w:tr>
      <w:tr w:rsidR="00BB1F9B" w:rsidRPr="00EC659E" w14:paraId="58681ED0" w14:textId="77777777" w:rsidTr="00C93954">
        <w:trPr>
          <w:jc w:val="center"/>
        </w:trPr>
        <w:tc>
          <w:tcPr>
            <w:tcW w:w="1157"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0F5E53" w14:textId="4A75D260" w:rsidR="00BB1F9B"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Oltre</w:t>
            </w:r>
            <w:r w:rsidRPr="009E526D">
              <w:rPr>
                <w:rFonts w:ascii="Garamond" w:eastAsia="Garamond" w:hAnsi="Garamond" w:cs="Garamond"/>
                <w:b/>
                <w:sz w:val="18"/>
                <w:szCs w:val="18"/>
              </w:rPr>
              <w:t xml:space="preserve"> </w:t>
            </w:r>
            <w:r w:rsidR="00565D28" w:rsidRPr="009E526D">
              <w:rPr>
                <w:rFonts w:ascii="Garamond" w:eastAsia="Garamond" w:hAnsi="Garamond" w:cs="Garamond"/>
                <w:b/>
                <w:sz w:val="18"/>
                <w:szCs w:val="18"/>
              </w:rPr>
              <w:t>3</w:t>
            </w:r>
          </w:p>
          <w:p w14:paraId="551784BC" w14:textId="7DFE7E6B" w:rsidR="007F77E2"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Fino a</w:t>
            </w:r>
            <w:r w:rsidRPr="009E526D">
              <w:rPr>
                <w:rFonts w:ascii="Garamond" w:eastAsia="Garamond" w:hAnsi="Garamond" w:cs="Garamond"/>
                <w:b/>
                <w:sz w:val="18"/>
                <w:szCs w:val="18"/>
              </w:rPr>
              <w:t xml:space="preserve"> 8 </w:t>
            </w:r>
            <w:r w:rsidRPr="009E526D">
              <w:rPr>
                <w:rFonts w:ascii="Garamond" w:eastAsia="Garamond" w:hAnsi="Garamond" w:cs="Garamond"/>
                <w:sz w:val="18"/>
                <w:szCs w:val="18"/>
              </w:rPr>
              <w:t>(compreso)</w:t>
            </w:r>
          </w:p>
        </w:tc>
        <w:tc>
          <w:tcPr>
            <w:tcW w:w="1693" w:type="pct"/>
            <w:tcBorders>
              <w:bottom w:val="single" w:sz="8" w:space="0" w:color="000000"/>
              <w:right w:val="single" w:sz="8" w:space="0" w:color="000000"/>
            </w:tcBorders>
            <w:shd w:val="clear" w:color="auto" w:fill="92D050"/>
            <w:tcMar>
              <w:top w:w="100" w:type="dxa"/>
              <w:left w:w="100" w:type="dxa"/>
              <w:bottom w:w="100" w:type="dxa"/>
              <w:right w:w="100" w:type="dxa"/>
            </w:tcMar>
            <w:vAlign w:val="center"/>
          </w:tcPr>
          <w:p w14:paraId="024BF348" w14:textId="74DE72CA" w:rsidR="00BB1F9B" w:rsidRPr="009E526D" w:rsidRDefault="00BB1F9B"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b/>
                <w:sz w:val="18"/>
                <w:szCs w:val="18"/>
              </w:rPr>
              <w:t>Rischio medio - basso</w:t>
            </w:r>
          </w:p>
        </w:tc>
        <w:tc>
          <w:tcPr>
            <w:tcW w:w="2150" w:type="pct"/>
            <w:tcBorders>
              <w:bottom w:val="single" w:sz="8" w:space="0" w:color="000000"/>
              <w:right w:val="single" w:sz="8" w:space="0" w:color="000000"/>
            </w:tcBorders>
            <w:shd w:val="clear" w:color="auto" w:fill="auto"/>
            <w:tcMar>
              <w:top w:w="100" w:type="dxa"/>
              <w:left w:w="100" w:type="dxa"/>
              <w:bottom w:w="100" w:type="dxa"/>
              <w:right w:w="100" w:type="dxa"/>
            </w:tcMar>
          </w:tcPr>
          <w:p w14:paraId="19366FB4" w14:textId="39AB1450" w:rsidR="00BB1F9B" w:rsidRPr="009E526D" w:rsidRDefault="00BB1F9B"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Predisposizione AC nel lungo periodo, maggiore focalizzazione del monitoraggio e del controllo su aspetti specifici.</w:t>
            </w:r>
          </w:p>
        </w:tc>
      </w:tr>
      <w:tr w:rsidR="00BB1F9B" w:rsidRPr="00EC659E" w14:paraId="6B62B98B" w14:textId="77777777" w:rsidTr="00C93954">
        <w:trPr>
          <w:jc w:val="center"/>
        </w:trPr>
        <w:tc>
          <w:tcPr>
            <w:tcW w:w="1157"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538B98" w14:textId="6C483565" w:rsidR="007F77E2"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Oltre</w:t>
            </w:r>
            <w:r w:rsidRPr="009E526D">
              <w:rPr>
                <w:rFonts w:ascii="Garamond" w:eastAsia="Garamond" w:hAnsi="Garamond" w:cs="Garamond"/>
                <w:b/>
                <w:sz w:val="18"/>
                <w:szCs w:val="18"/>
              </w:rPr>
              <w:t xml:space="preserve"> 8</w:t>
            </w:r>
          </w:p>
          <w:p w14:paraId="2968CDE4" w14:textId="0D472447" w:rsidR="00BB1F9B"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Fino a</w:t>
            </w:r>
            <w:r w:rsidR="00BB1F9B" w:rsidRPr="009E526D">
              <w:rPr>
                <w:rFonts w:ascii="Garamond" w:eastAsia="Garamond" w:hAnsi="Garamond" w:cs="Garamond"/>
                <w:b/>
                <w:sz w:val="18"/>
                <w:szCs w:val="18"/>
              </w:rPr>
              <w:t xml:space="preserve"> 1</w:t>
            </w:r>
            <w:r w:rsidRPr="009E526D">
              <w:rPr>
                <w:rFonts w:ascii="Garamond" w:eastAsia="Garamond" w:hAnsi="Garamond" w:cs="Garamond"/>
                <w:b/>
                <w:sz w:val="18"/>
                <w:szCs w:val="18"/>
              </w:rPr>
              <w:t xml:space="preserve">2 </w:t>
            </w:r>
            <w:r w:rsidRPr="009E526D">
              <w:rPr>
                <w:rFonts w:ascii="Garamond" w:eastAsia="Garamond" w:hAnsi="Garamond" w:cs="Garamond"/>
                <w:sz w:val="18"/>
                <w:szCs w:val="18"/>
              </w:rPr>
              <w:t>(compreso)</w:t>
            </w:r>
          </w:p>
        </w:tc>
        <w:tc>
          <w:tcPr>
            <w:tcW w:w="1693" w:type="pct"/>
            <w:tcBorders>
              <w:bottom w:val="single" w:sz="8" w:space="0" w:color="000000"/>
              <w:right w:val="single" w:sz="8" w:space="0" w:color="000000"/>
            </w:tcBorders>
            <w:shd w:val="clear" w:color="auto" w:fill="FFFF00"/>
            <w:tcMar>
              <w:top w:w="100" w:type="dxa"/>
              <w:left w:w="100" w:type="dxa"/>
              <w:bottom w:w="100" w:type="dxa"/>
              <w:right w:w="100" w:type="dxa"/>
            </w:tcMar>
            <w:vAlign w:val="center"/>
          </w:tcPr>
          <w:p w14:paraId="34AF64B8" w14:textId="5355D157" w:rsidR="00BB1F9B" w:rsidRPr="009E526D" w:rsidRDefault="00BB1F9B" w:rsidP="009E526D">
            <w:pPr>
              <w:spacing w:after="0" w:line="240" w:lineRule="auto"/>
              <w:jc w:val="center"/>
              <w:rPr>
                <w:rFonts w:ascii="Garamond" w:eastAsia="Garamond" w:hAnsi="Garamond" w:cs="Garamond"/>
                <w:b/>
                <w:sz w:val="18"/>
                <w:szCs w:val="18"/>
                <w:highlight w:val="red"/>
              </w:rPr>
            </w:pPr>
            <w:r w:rsidRPr="009E526D">
              <w:rPr>
                <w:rFonts w:ascii="Garamond" w:eastAsia="Garamond" w:hAnsi="Garamond" w:cs="Garamond"/>
                <w:b/>
                <w:sz w:val="18"/>
                <w:szCs w:val="18"/>
              </w:rPr>
              <w:t>Rischio medio</w:t>
            </w:r>
          </w:p>
        </w:tc>
        <w:tc>
          <w:tcPr>
            <w:tcW w:w="2150" w:type="pct"/>
            <w:tcBorders>
              <w:bottom w:val="single" w:sz="8" w:space="0" w:color="000000"/>
              <w:right w:val="single" w:sz="8" w:space="0" w:color="000000"/>
            </w:tcBorders>
            <w:shd w:val="clear" w:color="auto" w:fill="auto"/>
            <w:tcMar>
              <w:top w:w="100" w:type="dxa"/>
              <w:left w:w="100" w:type="dxa"/>
              <w:bottom w:w="100" w:type="dxa"/>
              <w:right w:w="100" w:type="dxa"/>
            </w:tcMar>
          </w:tcPr>
          <w:p w14:paraId="47B7A5DC" w14:textId="0CA454EA" w:rsidR="00BB1F9B" w:rsidRPr="009E526D" w:rsidRDefault="00BB1F9B"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Predisposizione AC nel medio periodo, intensificazione del monitoraggio e del controllo del processo.</w:t>
            </w:r>
          </w:p>
        </w:tc>
      </w:tr>
      <w:tr w:rsidR="00BB1F9B" w:rsidRPr="00EC659E" w14:paraId="6BB2AC04" w14:textId="77777777" w:rsidTr="00C93954">
        <w:trPr>
          <w:jc w:val="center"/>
        </w:trPr>
        <w:tc>
          <w:tcPr>
            <w:tcW w:w="1157"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016B0B" w14:textId="77777777" w:rsidR="007F77E2"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Oltre</w:t>
            </w:r>
            <w:r w:rsidRPr="009E526D">
              <w:rPr>
                <w:rFonts w:ascii="Garamond" w:eastAsia="Garamond" w:hAnsi="Garamond" w:cs="Garamond"/>
                <w:b/>
                <w:sz w:val="18"/>
                <w:szCs w:val="18"/>
              </w:rPr>
              <w:t xml:space="preserve"> </w:t>
            </w:r>
            <w:r w:rsidR="00BB1F9B" w:rsidRPr="009E526D">
              <w:rPr>
                <w:rFonts w:ascii="Garamond" w:eastAsia="Garamond" w:hAnsi="Garamond" w:cs="Garamond"/>
                <w:b/>
                <w:sz w:val="18"/>
                <w:szCs w:val="18"/>
              </w:rPr>
              <w:t>1</w:t>
            </w:r>
            <w:r w:rsidRPr="009E526D">
              <w:rPr>
                <w:rFonts w:ascii="Garamond" w:eastAsia="Garamond" w:hAnsi="Garamond" w:cs="Garamond"/>
                <w:b/>
                <w:sz w:val="18"/>
                <w:szCs w:val="18"/>
              </w:rPr>
              <w:t>2</w:t>
            </w:r>
            <w:r w:rsidR="00BB1F9B" w:rsidRPr="009E526D">
              <w:rPr>
                <w:rFonts w:ascii="Garamond" w:eastAsia="Garamond" w:hAnsi="Garamond" w:cs="Garamond"/>
                <w:b/>
                <w:sz w:val="18"/>
                <w:szCs w:val="18"/>
              </w:rPr>
              <w:t xml:space="preserve"> </w:t>
            </w:r>
          </w:p>
          <w:p w14:paraId="4DE90696" w14:textId="6E1038AE" w:rsidR="00BB1F9B"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Fino a</w:t>
            </w:r>
            <w:r w:rsidRPr="009E526D">
              <w:rPr>
                <w:rFonts w:ascii="Garamond" w:eastAsia="Garamond" w:hAnsi="Garamond" w:cs="Garamond"/>
                <w:b/>
                <w:sz w:val="18"/>
                <w:szCs w:val="18"/>
              </w:rPr>
              <w:t xml:space="preserve"> 20 </w:t>
            </w:r>
            <w:r w:rsidRPr="009E526D">
              <w:rPr>
                <w:rFonts w:ascii="Garamond" w:eastAsia="Garamond" w:hAnsi="Garamond" w:cs="Garamond"/>
                <w:sz w:val="18"/>
                <w:szCs w:val="18"/>
              </w:rPr>
              <w:t>(compreso)</w:t>
            </w:r>
          </w:p>
        </w:tc>
        <w:tc>
          <w:tcPr>
            <w:tcW w:w="1693" w:type="pct"/>
            <w:tcBorders>
              <w:bottom w:val="single" w:sz="8" w:space="0" w:color="000000"/>
              <w:right w:val="single" w:sz="8" w:space="0" w:color="000000"/>
            </w:tcBorders>
            <w:shd w:val="clear" w:color="auto" w:fill="FFC000"/>
            <w:tcMar>
              <w:top w:w="100" w:type="dxa"/>
              <w:left w:w="100" w:type="dxa"/>
              <w:bottom w:w="100" w:type="dxa"/>
              <w:right w:w="100" w:type="dxa"/>
            </w:tcMar>
            <w:vAlign w:val="center"/>
          </w:tcPr>
          <w:p w14:paraId="7FAE91EA" w14:textId="5E5AEE20" w:rsidR="00BB1F9B" w:rsidRPr="009E526D" w:rsidRDefault="00BB1F9B" w:rsidP="009E526D">
            <w:pPr>
              <w:spacing w:after="0" w:line="240" w:lineRule="auto"/>
              <w:jc w:val="center"/>
              <w:rPr>
                <w:rFonts w:ascii="Garamond" w:eastAsia="Garamond" w:hAnsi="Garamond" w:cs="Garamond"/>
                <w:b/>
                <w:sz w:val="18"/>
                <w:szCs w:val="18"/>
                <w:highlight w:val="red"/>
              </w:rPr>
            </w:pPr>
            <w:r w:rsidRPr="009E526D">
              <w:rPr>
                <w:rFonts w:ascii="Garamond" w:eastAsia="Garamond" w:hAnsi="Garamond" w:cs="Garamond"/>
                <w:b/>
                <w:sz w:val="18"/>
                <w:szCs w:val="18"/>
              </w:rPr>
              <w:t xml:space="preserve">Rischio </w:t>
            </w:r>
            <w:r w:rsidRPr="009E526D">
              <w:rPr>
                <w:rFonts w:ascii="Garamond" w:eastAsia="Garamond" w:hAnsi="Garamond" w:cs="Garamond"/>
                <w:b/>
                <w:sz w:val="18"/>
                <w:szCs w:val="18"/>
                <w:shd w:val="clear" w:color="auto" w:fill="FFC000"/>
              </w:rPr>
              <w:t>medio</w:t>
            </w:r>
            <w:r w:rsidRPr="009E526D">
              <w:rPr>
                <w:rFonts w:ascii="Garamond" w:eastAsia="Garamond" w:hAnsi="Garamond" w:cs="Garamond"/>
                <w:b/>
                <w:sz w:val="18"/>
                <w:szCs w:val="18"/>
              </w:rPr>
              <w:t xml:space="preserve"> - alto</w:t>
            </w:r>
          </w:p>
        </w:tc>
        <w:tc>
          <w:tcPr>
            <w:tcW w:w="2150" w:type="pct"/>
            <w:tcBorders>
              <w:bottom w:val="single" w:sz="8" w:space="0" w:color="000000"/>
              <w:right w:val="single" w:sz="8" w:space="0" w:color="000000"/>
            </w:tcBorders>
            <w:shd w:val="clear" w:color="auto" w:fill="auto"/>
            <w:tcMar>
              <w:top w:w="100" w:type="dxa"/>
              <w:left w:w="100" w:type="dxa"/>
              <w:bottom w:w="100" w:type="dxa"/>
              <w:right w:w="100" w:type="dxa"/>
            </w:tcMar>
          </w:tcPr>
          <w:p w14:paraId="6720ADA6" w14:textId="7EFBA119" w:rsidR="00BB1F9B" w:rsidRPr="009E526D" w:rsidRDefault="00BB1F9B"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Predisposizione AC nel breve periodo, stretto monitoraggio e controllo della fonte di Rischio.</w:t>
            </w:r>
          </w:p>
        </w:tc>
      </w:tr>
      <w:tr w:rsidR="00BB1F9B" w:rsidRPr="00EC659E" w14:paraId="7B7469D8" w14:textId="77777777" w:rsidTr="00C93954">
        <w:trPr>
          <w:jc w:val="center"/>
        </w:trPr>
        <w:tc>
          <w:tcPr>
            <w:tcW w:w="1157"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ECBD30" w14:textId="77777777" w:rsidR="007F77E2"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Oltre</w:t>
            </w:r>
            <w:r w:rsidRPr="009E526D">
              <w:rPr>
                <w:rFonts w:ascii="Garamond" w:eastAsia="Garamond" w:hAnsi="Garamond" w:cs="Garamond"/>
                <w:b/>
                <w:sz w:val="18"/>
                <w:szCs w:val="18"/>
              </w:rPr>
              <w:t xml:space="preserve"> </w:t>
            </w:r>
            <w:r w:rsidR="005E70E4" w:rsidRPr="009E526D">
              <w:rPr>
                <w:rFonts w:ascii="Garamond" w:eastAsia="Garamond" w:hAnsi="Garamond" w:cs="Garamond"/>
                <w:b/>
                <w:sz w:val="18"/>
                <w:szCs w:val="18"/>
              </w:rPr>
              <w:t>20</w:t>
            </w:r>
            <w:r w:rsidR="00BB1F9B" w:rsidRPr="009E526D">
              <w:rPr>
                <w:rFonts w:ascii="Garamond" w:eastAsia="Garamond" w:hAnsi="Garamond" w:cs="Garamond"/>
                <w:b/>
                <w:sz w:val="18"/>
                <w:szCs w:val="18"/>
              </w:rPr>
              <w:t xml:space="preserve"> </w:t>
            </w:r>
          </w:p>
          <w:p w14:paraId="5C9EDE67" w14:textId="7C969738" w:rsidR="007F77E2" w:rsidRPr="009E526D" w:rsidRDefault="007F77E2" w:rsidP="009E526D">
            <w:pPr>
              <w:spacing w:after="0" w:line="240" w:lineRule="auto"/>
              <w:jc w:val="center"/>
              <w:rPr>
                <w:rFonts w:ascii="Garamond" w:eastAsia="Garamond" w:hAnsi="Garamond" w:cs="Garamond"/>
                <w:b/>
                <w:sz w:val="18"/>
                <w:szCs w:val="18"/>
              </w:rPr>
            </w:pPr>
            <w:r w:rsidRPr="009E526D">
              <w:rPr>
                <w:rFonts w:ascii="Garamond" w:eastAsia="Garamond" w:hAnsi="Garamond" w:cs="Garamond"/>
                <w:sz w:val="18"/>
                <w:szCs w:val="18"/>
              </w:rPr>
              <w:t>Fino a</w:t>
            </w:r>
            <w:r w:rsidRPr="009E526D">
              <w:rPr>
                <w:rFonts w:ascii="Garamond" w:eastAsia="Garamond" w:hAnsi="Garamond" w:cs="Garamond"/>
                <w:b/>
                <w:sz w:val="18"/>
                <w:szCs w:val="18"/>
              </w:rPr>
              <w:t xml:space="preserve"> </w:t>
            </w:r>
            <w:r w:rsidR="00BB1F9B" w:rsidRPr="009E526D">
              <w:rPr>
                <w:rFonts w:ascii="Garamond" w:eastAsia="Garamond" w:hAnsi="Garamond" w:cs="Garamond"/>
                <w:b/>
                <w:sz w:val="18"/>
                <w:szCs w:val="18"/>
              </w:rPr>
              <w:t>25</w:t>
            </w:r>
            <w:r w:rsidRPr="009E526D">
              <w:rPr>
                <w:rFonts w:ascii="Garamond" w:eastAsia="Garamond" w:hAnsi="Garamond" w:cs="Garamond"/>
                <w:b/>
                <w:sz w:val="18"/>
                <w:szCs w:val="18"/>
              </w:rPr>
              <w:t xml:space="preserve"> </w:t>
            </w:r>
            <w:r w:rsidRPr="009E526D">
              <w:rPr>
                <w:rFonts w:ascii="Garamond" w:eastAsia="Garamond" w:hAnsi="Garamond" w:cs="Garamond"/>
                <w:sz w:val="18"/>
                <w:szCs w:val="18"/>
              </w:rPr>
              <w:t>(compreso)</w:t>
            </w:r>
          </w:p>
        </w:tc>
        <w:tc>
          <w:tcPr>
            <w:tcW w:w="1693" w:type="pct"/>
            <w:tcBorders>
              <w:bottom w:val="single" w:sz="8" w:space="0" w:color="000000"/>
              <w:right w:val="single" w:sz="8" w:space="0" w:color="000000"/>
            </w:tcBorders>
            <w:shd w:val="clear" w:color="auto" w:fill="FF0000"/>
            <w:tcMar>
              <w:top w:w="100" w:type="dxa"/>
              <w:left w:w="100" w:type="dxa"/>
              <w:bottom w:w="100" w:type="dxa"/>
              <w:right w:w="100" w:type="dxa"/>
            </w:tcMar>
            <w:vAlign w:val="center"/>
          </w:tcPr>
          <w:p w14:paraId="55C6EC69" w14:textId="77777777" w:rsidR="00BB1F9B" w:rsidRPr="009E526D" w:rsidRDefault="00BB1F9B" w:rsidP="009E526D">
            <w:pPr>
              <w:spacing w:after="0" w:line="240" w:lineRule="auto"/>
              <w:jc w:val="center"/>
              <w:rPr>
                <w:rFonts w:ascii="Garamond" w:eastAsia="Garamond" w:hAnsi="Garamond" w:cs="Garamond"/>
                <w:b/>
                <w:sz w:val="18"/>
                <w:szCs w:val="18"/>
                <w:highlight w:val="red"/>
              </w:rPr>
            </w:pPr>
            <w:r w:rsidRPr="009E526D">
              <w:rPr>
                <w:rFonts w:ascii="Garamond" w:eastAsia="Garamond" w:hAnsi="Garamond" w:cs="Garamond"/>
                <w:b/>
                <w:sz w:val="18"/>
                <w:szCs w:val="18"/>
                <w:highlight w:val="red"/>
              </w:rPr>
              <w:t>Rischio alto</w:t>
            </w:r>
          </w:p>
        </w:tc>
        <w:tc>
          <w:tcPr>
            <w:tcW w:w="2150" w:type="pct"/>
            <w:tcBorders>
              <w:bottom w:val="single" w:sz="8" w:space="0" w:color="000000"/>
              <w:right w:val="single" w:sz="8" w:space="0" w:color="000000"/>
            </w:tcBorders>
            <w:shd w:val="clear" w:color="auto" w:fill="auto"/>
            <w:tcMar>
              <w:top w:w="100" w:type="dxa"/>
              <w:left w:w="100" w:type="dxa"/>
              <w:bottom w:w="100" w:type="dxa"/>
              <w:right w:w="100" w:type="dxa"/>
            </w:tcMar>
          </w:tcPr>
          <w:p w14:paraId="4B684D90" w14:textId="77777777" w:rsidR="00BB1F9B" w:rsidRPr="009E526D" w:rsidRDefault="00BB1F9B" w:rsidP="009E526D">
            <w:pPr>
              <w:spacing w:after="0" w:line="240" w:lineRule="auto"/>
              <w:jc w:val="both"/>
              <w:rPr>
                <w:rFonts w:ascii="Garamond" w:eastAsia="Garamond" w:hAnsi="Garamond" w:cs="Garamond"/>
                <w:sz w:val="18"/>
                <w:szCs w:val="18"/>
              </w:rPr>
            </w:pPr>
            <w:r w:rsidRPr="009E526D">
              <w:rPr>
                <w:rFonts w:ascii="Garamond" w:eastAsia="Garamond" w:hAnsi="Garamond" w:cs="Garamond"/>
                <w:sz w:val="18"/>
                <w:szCs w:val="18"/>
              </w:rPr>
              <w:t>Predisposizione AC urgenti, stretto monitoraggio e controllo della fonte di Rischio.</w:t>
            </w:r>
          </w:p>
        </w:tc>
      </w:tr>
    </w:tbl>
    <w:p w14:paraId="28DDA5A4" w14:textId="0060FC1F" w:rsidR="00BB1F9B" w:rsidRPr="009E526D" w:rsidRDefault="00BB1F9B" w:rsidP="00A36180">
      <w:pPr>
        <w:pStyle w:val="Titolo2"/>
        <w:spacing w:before="240" w:after="120" w:line="280" w:lineRule="exact"/>
        <w:rPr>
          <w:rFonts w:ascii="Garamond" w:hAnsi="Garamond"/>
          <w:bCs w:val="0"/>
          <w:color w:val="00B0F0"/>
          <w:sz w:val="22"/>
          <w:szCs w:val="22"/>
          <w:lang w:eastAsia="it-IT"/>
        </w:rPr>
      </w:pPr>
      <w:bookmarkStart w:id="11" w:name="_Toc875888"/>
      <w:r w:rsidRPr="009E526D">
        <w:rPr>
          <w:rFonts w:ascii="Garamond" w:hAnsi="Garamond"/>
          <w:bCs w:val="0"/>
          <w:color w:val="00B0F0"/>
          <w:sz w:val="22"/>
          <w:szCs w:val="22"/>
          <w:lang w:eastAsia="it-IT"/>
        </w:rPr>
        <w:t xml:space="preserve">5.2 </w:t>
      </w:r>
      <w:r w:rsidR="00466694" w:rsidRPr="009E526D">
        <w:rPr>
          <w:rFonts w:ascii="Garamond" w:hAnsi="Garamond"/>
          <w:bCs w:val="0"/>
          <w:color w:val="00B0F0"/>
          <w:sz w:val="22"/>
          <w:szCs w:val="22"/>
          <w:lang w:eastAsia="it-IT"/>
        </w:rPr>
        <w:t>Valutazione delle probabilità (P)</w:t>
      </w:r>
      <w:bookmarkEnd w:id="11"/>
    </w:p>
    <w:tbl>
      <w:tblPr>
        <w:tblW w:w="8820" w:type="dxa"/>
        <w:jc w:val="center"/>
        <w:tblBorders>
          <w:top w:val="nil"/>
          <w:left w:val="nil"/>
          <w:bottom w:val="nil"/>
          <w:right w:val="nil"/>
          <w:insideH w:val="nil"/>
          <w:insideV w:val="nil"/>
        </w:tblBorders>
        <w:tblLayout w:type="fixed"/>
        <w:tblLook w:val="0600" w:firstRow="0" w:lastRow="0" w:firstColumn="0" w:lastColumn="0" w:noHBand="1" w:noVBand="1"/>
      </w:tblPr>
      <w:tblGrid>
        <w:gridCol w:w="1550"/>
        <w:gridCol w:w="2126"/>
        <w:gridCol w:w="5144"/>
      </w:tblGrid>
      <w:tr w:rsidR="00466694" w:rsidRPr="00EC659E" w14:paraId="702BD3C0" w14:textId="77777777" w:rsidTr="00DA283D">
        <w:trPr>
          <w:jc w:val="center"/>
        </w:trPr>
        <w:tc>
          <w:tcPr>
            <w:tcW w:w="1550" w:type="dxa"/>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tcPr>
          <w:p w14:paraId="1DE12CCF" w14:textId="77777777" w:rsidR="00466694" w:rsidRPr="000325F8" w:rsidRDefault="00466694"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Indice numerico</w:t>
            </w:r>
          </w:p>
        </w:tc>
        <w:tc>
          <w:tcPr>
            <w:tcW w:w="2126" w:type="dxa"/>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tcPr>
          <w:p w14:paraId="6280B1E7" w14:textId="77777777" w:rsidR="00466694" w:rsidRPr="000325F8" w:rsidRDefault="00466694"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Livello</w:t>
            </w:r>
          </w:p>
        </w:tc>
        <w:tc>
          <w:tcPr>
            <w:tcW w:w="5144" w:type="dxa"/>
            <w:tcBorders>
              <w:top w:val="single" w:sz="4" w:space="0" w:color="auto"/>
              <w:left w:val="single" w:sz="4" w:space="0" w:color="auto"/>
              <w:bottom w:val="single" w:sz="4" w:space="0" w:color="auto"/>
              <w:right w:val="single" w:sz="4" w:space="0" w:color="auto"/>
            </w:tcBorders>
            <w:shd w:val="clear" w:color="auto" w:fill="830D28"/>
            <w:tcMar>
              <w:top w:w="100" w:type="dxa"/>
              <w:left w:w="100" w:type="dxa"/>
              <w:bottom w:w="100" w:type="dxa"/>
              <w:right w:w="100" w:type="dxa"/>
            </w:tcMar>
          </w:tcPr>
          <w:p w14:paraId="7E35C74D" w14:textId="77777777" w:rsidR="00466694" w:rsidRPr="000325F8" w:rsidRDefault="00466694" w:rsidP="000325F8">
            <w:pPr>
              <w:spacing w:after="0" w:line="240" w:lineRule="auto"/>
              <w:jc w:val="both"/>
              <w:rPr>
                <w:rFonts w:ascii="Garamond" w:eastAsia="Garamond" w:hAnsi="Garamond" w:cs="Garamond"/>
                <w:b/>
                <w:sz w:val="18"/>
                <w:szCs w:val="18"/>
              </w:rPr>
            </w:pPr>
            <w:r w:rsidRPr="000325F8">
              <w:rPr>
                <w:rFonts w:ascii="Garamond" w:eastAsia="Garamond" w:hAnsi="Garamond" w:cs="Garamond"/>
                <w:b/>
                <w:sz w:val="18"/>
                <w:szCs w:val="18"/>
              </w:rPr>
              <w:t>Definizione/criterio</w:t>
            </w:r>
          </w:p>
        </w:tc>
      </w:tr>
      <w:tr w:rsidR="00565D28" w:rsidRPr="00EC659E" w14:paraId="3B58E152" w14:textId="77777777" w:rsidTr="00DA283D">
        <w:trPr>
          <w:trHeight w:val="865"/>
          <w:jc w:val="center"/>
        </w:trPr>
        <w:tc>
          <w:tcPr>
            <w:tcW w:w="15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67537A" w14:textId="34CEFAAC"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1</w:t>
            </w:r>
          </w:p>
        </w:tc>
        <w:tc>
          <w:tcPr>
            <w:tcW w:w="2126" w:type="dxa"/>
            <w:tcBorders>
              <w:top w:val="single" w:sz="4" w:space="0" w:color="auto"/>
              <w:bottom w:val="single" w:sz="8" w:space="0" w:color="000000"/>
              <w:right w:val="single" w:sz="8" w:space="0" w:color="000000"/>
            </w:tcBorders>
            <w:shd w:val="clear" w:color="auto" w:fill="00B050"/>
            <w:tcMar>
              <w:top w:w="100" w:type="dxa"/>
              <w:left w:w="100" w:type="dxa"/>
              <w:bottom w:w="100" w:type="dxa"/>
              <w:right w:w="100" w:type="dxa"/>
            </w:tcMar>
            <w:vAlign w:val="center"/>
          </w:tcPr>
          <w:p w14:paraId="02FA4A5D" w14:textId="7AC85BEE"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Probabilità bassa</w:t>
            </w:r>
          </w:p>
        </w:tc>
        <w:tc>
          <w:tcPr>
            <w:tcW w:w="5144"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703797F" w14:textId="0592DD45" w:rsidR="00565D28" w:rsidRPr="000325F8" w:rsidRDefault="00565D28" w:rsidP="000325F8">
            <w:pPr>
              <w:spacing w:after="0" w:line="240" w:lineRule="auto"/>
              <w:jc w:val="both"/>
              <w:rPr>
                <w:rFonts w:ascii="Garamond" w:eastAsia="Garamond" w:hAnsi="Garamond" w:cs="Garamond"/>
                <w:sz w:val="18"/>
                <w:szCs w:val="18"/>
              </w:rPr>
            </w:pPr>
            <w:r w:rsidRPr="000325F8">
              <w:rPr>
                <w:rFonts w:ascii="Garamond" w:eastAsia="Garamond" w:hAnsi="Garamond" w:cs="Garamond"/>
                <w:sz w:val="18"/>
                <w:szCs w:val="18"/>
              </w:rPr>
              <w:t>Indica la scarsissima probabilità del verificarsi dell</w:t>
            </w:r>
            <w:r w:rsidR="000325F8">
              <w:rPr>
                <w:rFonts w:ascii="Times New Roman" w:eastAsia="Garamond" w:hAnsi="Times New Roman" w:cs="Times New Roman"/>
                <w:sz w:val="18"/>
                <w:szCs w:val="18"/>
              </w:rPr>
              <w:t>’</w:t>
            </w:r>
            <w:r w:rsidRPr="000325F8">
              <w:rPr>
                <w:rFonts w:ascii="Garamond" w:eastAsia="Garamond" w:hAnsi="Garamond" w:cs="Garamond"/>
                <w:sz w:val="18"/>
                <w:szCs w:val="18"/>
              </w:rPr>
              <w:t>evento per la mancanza della presenza oggettiva del rischio in esame. Non sono noti episodi gi</w:t>
            </w:r>
            <w:r w:rsidRPr="000325F8">
              <w:rPr>
                <w:rFonts w:ascii="Garamond" w:eastAsia="Garamond" w:hAnsi="Garamond" w:cs="Gotham Light"/>
                <w:sz w:val="18"/>
                <w:szCs w:val="18"/>
              </w:rPr>
              <w:t>à</w:t>
            </w:r>
            <w:r w:rsidRPr="000325F8">
              <w:rPr>
                <w:rFonts w:ascii="Garamond" w:eastAsia="Garamond" w:hAnsi="Garamond" w:cs="Garamond"/>
                <w:sz w:val="18"/>
                <w:szCs w:val="18"/>
              </w:rPr>
              <w:t xml:space="preserve"> verificatisi. Assenza di criteri oggettivi nell</w:t>
            </w:r>
            <w:r w:rsidR="000325F8">
              <w:rPr>
                <w:rFonts w:ascii="Times New Roman" w:eastAsia="Garamond" w:hAnsi="Times New Roman" w:cs="Times New Roman"/>
                <w:sz w:val="18"/>
                <w:szCs w:val="18"/>
              </w:rPr>
              <w:t>’</w:t>
            </w:r>
            <w:r w:rsidR="000325F8">
              <w:rPr>
                <w:rFonts w:ascii="Garamond" w:eastAsia="Garamond" w:hAnsi="Garamond" w:cs="Garamond"/>
                <w:sz w:val="18"/>
                <w:szCs w:val="18"/>
              </w:rPr>
              <w:t xml:space="preserve">individuazione del </w:t>
            </w:r>
            <w:r w:rsidRPr="000325F8">
              <w:rPr>
                <w:rFonts w:ascii="Garamond" w:eastAsia="Garamond" w:hAnsi="Garamond" w:cs="Garamond"/>
                <w:sz w:val="18"/>
                <w:szCs w:val="18"/>
              </w:rPr>
              <w:t>livello delle probabilit</w:t>
            </w:r>
            <w:r w:rsidRPr="000325F8">
              <w:rPr>
                <w:rFonts w:ascii="Garamond" w:eastAsia="Garamond" w:hAnsi="Garamond" w:cs="Gotham Light"/>
                <w:sz w:val="18"/>
                <w:szCs w:val="18"/>
              </w:rPr>
              <w:t>à</w:t>
            </w:r>
            <w:r w:rsidR="005D69C2" w:rsidRPr="000325F8">
              <w:rPr>
                <w:rFonts w:ascii="Garamond" w:eastAsia="Garamond" w:hAnsi="Garamond" w:cs="Gotham Light"/>
                <w:sz w:val="18"/>
                <w:szCs w:val="18"/>
              </w:rPr>
              <w:t>.</w:t>
            </w:r>
            <w:r w:rsidRPr="000325F8">
              <w:rPr>
                <w:rFonts w:ascii="Garamond" w:eastAsia="Garamond" w:hAnsi="Garamond" w:cs="Garamond"/>
                <w:sz w:val="18"/>
                <w:szCs w:val="18"/>
              </w:rPr>
              <w:t xml:space="preserve"> Il verificarsi dell'evento susciterebbe incredulità.</w:t>
            </w:r>
          </w:p>
        </w:tc>
      </w:tr>
      <w:tr w:rsidR="00565D28" w:rsidRPr="00EC659E" w14:paraId="5F172724" w14:textId="77777777" w:rsidTr="00DA283D">
        <w:trPr>
          <w:trHeight w:val="106"/>
          <w:jc w:val="center"/>
        </w:trPr>
        <w:tc>
          <w:tcPr>
            <w:tcW w:w="1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68E9D3" w14:textId="315828F3"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2</w:t>
            </w:r>
          </w:p>
        </w:tc>
        <w:tc>
          <w:tcPr>
            <w:tcW w:w="2126" w:type="dxa"/>
            <w:tcBorders>
              <w:bottom w:val="single" w:sz="8" w:space="0" w:color="000000"/>
              <w:right w:val="single" w:sz="8" w:space="0" w:color="000000"/>
            </w:tcBorders>
            <w:shd w:val="clear" w:color="auto" w:fill="92D050"/>
            <w:tcMar>
              <w:top w:w="100" w:type="dxa"/>
              <w:left w:w="100" w:type="dxa"/>
              <w:bottom w:w="100" w:type="dxa"/>
              <w:right w:w="100" w:type="dxa"/>
            </w:tcMar>
            <w:vAlign w:val="center"/>
          </w:tcPr>
          <w:p w14:paraId="39DEF841" w14:textId="1E27BE1B"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Probabilità medio-bassa</w:t>
            </w:r>
          </w:p>
        </w:tc>
        <w:tc>
          <w:tcPr>
            <w:tcW w:w="5144" w:type="dxa"/>
            <w:tcBorders>
              <w:bottom w:val="single" w:sz="8" w:space="0" w:color="000000"/>
              <w:right w:val="single" w:sz="8" w:space="0" w:color="000000"/>
            </w:tcBorders>
            <w:shd w:val="clear" w:color="auto" w:fill="auto"/>
            <w:tcMar>
              <w:top w:w="100" w:type="dxa"/>
              <w:left w:w="100" w:type="dxa"/>
              <w:bottom w:w="100" w:type="dxa"/>
              <w:right w:w="100" w:type="dxa"/>
            </w:tcMar>
          </w:tcPr>
          <w:p w14:paraId="39E69CB9" w14:textId="272EACD4" w:rsidR="00565D28" w:rsidRPr="000325F8" w:rsidRDefault="00565D28" w:rsidP="000325F8">
            <w:pPr>
              <w:spacing w:after="0" w:line="240" w:lineRule="auto"/>
              <w:jc w:val="both"/>
              <w:rPr>
                <w:rFonts w:ascii="Garamond" w:eastAsia="Garamond" w:hAnsi="Garamond" w:cs="Garamond"/>
                <w:sz w:val="18"/>
                <w:szCs w:val="18"/>
              </w:rPr>
            </w:pPr>
            <w:r w:rsidRPr="000325F8">
              <w:rPr>
                <w:rFonts w:ascii="Garamond" w:eastAsia="Garamond" w:hAnsi="Garamond" w:cs="Garamond"/>
                <w:sz w:val="18"/>
                <w:szCs w:val="18"/>
              </w:rPr>
              <w:t xml:space="preserve">Indica la scarsa possibilità del verificarsi dell’evento. Sono noti solo rarissimi </w:t>
            </w:r>
            <w:r w:rsidR="005C6628" w:rsidRPr="000325F8">
              <w:rPr>
                <w:rFonts w:ascii="Garamond" w:eastAsia="Garamond" w:hAnsi="Garamond" w:cs="Garamond"/>
                <w:sz w:val="18"/>
                <w:szCs w:val="18"/>
              </w:rPr>
              <w:t xml:space="preserve">episodi già verificatisi o che </w:t>
            </w:r>
            <w:r w:rsidRPr="000325F8">
              <w:rPr>
                <w:rFonts w:ascii="Garamond" w:eastAsia="Garamond" w:hAnsi="Garamond" w:cs="Garamond"/>
                <w:sz w:val="18"/>
                <w:szCs w:val="18"/>
              </w:rPr>
              <w:t xml:space="preserve">sarebbero potuti accadere. Scarsa presenza di criteri oggettivi nell’individuazione del livello delle probabilità. Il verificarsi </w:t>
            </w:r>
            <w:r w:rsidR="000325F8">
              <w:rPr>
                <w:rFonts w:ascii="Garamond" w:eastAsia="Garamond" w:hAnsi="Garamond" w:cs="Garamond"/>
                <w:sz w:val="18"/>
                <w:szCs w:val="18"/>
              </w:rPr>
              <w:t xml:space="preserve">dell'evento </w:t>
            </w:r>
            <w:r w:rsidRPr="000325F8">
              <w:rPr>
                <w:rFonts w:ascii="Garamond" w:eastAsia="Garamond" w:hAnsi="Garamond" w:cs="Garamond"/>
                <w:sz w:val="18"/>
                <w:szCs w:val="18"/>
              </w:rPr>
              <w:t>ipotizzato susciterebbe grande sorpresa.</w:t>
            </w:r>
          </w:p>
        </w:tc>
      </w:tr>
      <w:tr w:rsidR="00565D28" w:rsidRPr="00EC659E" w14:paraId="5C453176" w14:textId="77777777" w:rsidTr="00DA283D">
        <w:trPr>
          <w:jc w:val="center"/>
        </w:trPr>
        <w:tc>
          <w:tcPr>
            <w:tcW w:w="155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26E8C3F6" w14:textId="1923D2D7"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3</w:t>
            </w:r>
          </w:p>
        </w:tc>
        <w:tc>
          <w:tcPr>
            <w:tcW w:w="2126" w:type="dxa"/>
            <w:tcBorders>
              <w:top w:val="single" w:sz="8" w:space="0" w:color="000000"/>
              <w:bottom w:val="single" w:sz="4" w:space="0" w:color="auto"/>
              <w:right w:val="single" w:sz="8" w:space="0" w:color="000000"/>
            </w:tcBorders>
            <w:shd w:val="clear" w:color="auto" w:fill="FFFF00"/>
            <w:tcMar>
              <w:top w:w="100" w:type="dxa"/>
              <w:left w:w="100" w:type="dxa"/>
              <w:bottom w:w="100" w:type="dxa"/>
              <w:right w:w="100" w:type="dxa"/>
            </w:tcMar>
            <w:vAlign w:val="center"/>
          </w:tcPr>
          <w:p w14:paraId="4AB27F25" w14:textId="06E7341C"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Probabilità media</w:t>
            </w:r>
          </w:p>
        </w:tc>
        <w:tc>
          <w:tcPr>
            <w:tcW w:w="5144" w:type="dxa"/>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CC492EC" w14:textId="2555C24B" w:rsidR="00565D28" w:rsidRPr="000325F8" w:rsidRDefault="00565D28" w:rsidP="000325F8">
            <w:pPr>
              <w:spacing w:after="0" w:line="240" w:lineRule="auto"/>
              <w:jc w:val="both"/>
              <w:rPr>
                <w:rFonts w:ascii="Garamond" w:eastAsia="Garamond" w:hAnsi="Garamond" w:cs="Garamond"/>
                <w:sz w:val="18"/>
                <w:szCs w:val="18"/>
              </w:rPr>
            </w:pPr>
            <w:r w:rsidRPr="000325F8">
              <w:rPr>
                <w:rFonts w:ascii="Garamond" w:eastAsia="Garamond" w:hAnsi="Garamond" w:cs="Garamond"/>
                <w:sz w:val="18"/>
                <w:szCs w:val="18"/>
              </w:rPr>
              <w:t xml:space="preserve">Indica la </w:t>
            </w:r>
            <w:r w:rsidR="005C6628" w:rsidRPr="000325F8">
              <w:rPr>
                <w:rFonts w:ascii="Garamond" w:eastAsia="Garamond" w:hAnsi="Garamond" w:cs="Garamond"/>
                <w:sz w:val="18"/>
                <w:szCs w:val="18"/>
              </w:rPr>
              <w:t>possibilità c</w:t>
            </w:r>
            <w:r w:rsidRPr="000325F8">
              <w:rPr>
                <w:rFonts w:ascii="Garamond" w:eastAsia="Garamond" w:hAnsi="Garamond" w:cs="Garamond"/>
                <w:sz w:val="18"/>
                <w:szCs w:val="18"/>
              </w:rPr>
              <w:t>oncreta del verificarsi dell’evento. È noto qualche episodio in cui alla non conformità ha fatto seguito</w:t>
            </w:r>
            <w:r w:rsidR="005C6628" w:rsidRPr="000325F8">
              <w:rPr>
                <w:rFonts w:ascii="Garamond" w:eastAsia="Garamond" w:hAnsi="Garamond" w:cs="Garamond"/>
                <w:sz w:val="18"/>
                <w:szCs w:val="18"/>
              </w:rPr>
              <w:t xml:space="preserve"> l'evento. Presenza di criteri </w:t>
            </w:r>
            <w:r w:rsidRPr="000325F8">
              <w:rPr>
                <w:rFonts w:ascii="Garamond" w:eastAsia="Garamond" w:hAnsi="Garamond" w:cs="Garamond"/>
                <w:sz w:val="18"/>
                <w:szCs w:val="18"/>
              </w:rPr>
              <w:t>oggettivi nell’individuazione   del livello del</w:t>
            </w:r>
            <w:r w:rsidR="000325F8">
              <w:rPr>
                <w:rFonts w:ascii="Garamond" w:eastAsia="Garamond" w:hAnsi="Garamond" w:cs="Garamond"/>
                <w:sz w:val="18"/>
                <w:szCs w:val="18"/>
              </w:rPr>
              <w:t xml:space="preserve">le probabilità. Il verificarsi </w:t>
            </w:r>
            <w:r w:rsidRPr="000325F8">
              <w:rPr>
                <w:rFonts w:ascii="Garamond" w:eastAsia="Garamond" w:hAnsi="Garamond" w:cs="Garamond"/>
                <w:sz w:val="18"/>
                <w:szCs w:val="18"/>
              </w:rPr>
              <w:t>dell'evento ipotizzato susciterebbe una moderata sorpresa.</w:t>
            </w:r>
          </w:p>
        </w:tc>
      </w:tr>
      <w:tr w:rsidR="00565D28" w:rsidRPr="00EC659E" w14:paraId="3273314E" w14:textId="77777777" w:rsidTr="00DA283D">
        <w:trPr>
          <w:jc w:val="center"/>
        </w:trPr>
        <w:tc>
          <w:tcPr>
            <w:tcW w:w="155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61E93A2" w14:textId="138A5790"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4</w:t>
            </w:r>
          </w:p>
        </w:tc>
        <w:tc>
          <w:tcPr>
            <w:tcW w:w="2126" w:type="dxa"/>
            <w:tcBorders>
              <w:top w:val="single" w:sz="4" w:space="0" w:color="auto"/>
              <w:bottom w:val="single" w:sz="4" w:space="0" w:color="auto"/>
              <w:right w:val="single" w:sz="8" w:space="0" w:color="000000"/>
            </w:tcBorders>
            <w:shd w:val="clear" w:color="auto" w:fill="FF9900"/>
            <w:tcMar>
              <w:top w:w="100" w:type="dxa"/>
              <w:left w:w="100" w:type="dxa"/>
              <w:bottom w:w="100" w:type="dxa"/>
              <w:right w:w="100" w:type="dxa"/>
            </w:tcMar>
            <w:vAlign w:val="center"/>
          </w:tcPr>
          <w:p w14:paraId="4E1270C3" w14:textId="3D4DEFC0"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Probabilità medio-alta</w:t>
            </w:r>
          </w:p>
        </w:tc>
        <w:tc>
          <w:tcPr>
            <w:tcW w:w="5144" w:type="dxa"/>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47CCA8C" w14:textId="71F37AAE" w:rsidR="00565D28" w:rsidRPr="000325F8" w:rsidRDefault="00565D28" w:rsidP="000325F8">
            <w:pPr>
              <w:spacing w:after="0" w:line="240" w:lineRule="auto"/>
              <w:jc w:val="both"/>
              <w:rPr>
                <w:rFonts w:ascii="Garamond" w:eastAsia="Garamond" w:hAnsi="Garamond" w:cs="Garamond"/>
                <w:sz w:val="18"/>
                <w:szCs w:val="18"/>
              </w:rPr>
            </w:pPr>
            <w:r w:rsidRPr="000325F8">
              <w:rPr>
                <w:rFonts w:ascii="Garamond" w:eastAsia="Garamond" w:hAnsi="Garamond" w:cs="Garamond"/>
                <w:sz w:val="18"/>
                <w:szCs w:val="18"/>
              </w:rPr>
              <w:t>Si possono individuare correlazioni tra la non conformità rilevata ed il verificarsi dell'evento ipotizzato. Si sono già verificati episodi per la stessa non conformità rilevata in situazioni operative simili. Consistente presenza di criteri oggettivi nell’individuazione del livello delle probabilità.</w:t>
            </w:r>
          </w:p>
        </w:tc>
      </w:tr>
      <w:tr w:rsidR="00565D28" w:rsidRPr="00EC659E" w14:paraId="10C98C3D" w14:textId="77777777" w:rsidTr="00DA283D">
        <w:trPr>
          <w:trHeight w:val="819"/>
          <w:jc w:val="center"/>
        </w:trPr>
        <w:tc>
          <w:tcPr>
            <w:tcW w:w="15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1D0788" w14:textId="09F74C9D"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5</w:t>
            </w:r>
          </w:p>
        </w:tc>
        <w:tc>
          <w:tcPr>
            <w:tcW w:w="2126" w:type="dxa"/>
            <w:tcBorders>
              <w:top w:val="single" w:sz="4" w:space="0" w:color="auto"/>
              <w:bottom w:val="single" w:sz="8" w:space="0" w:color="000000"/>
              <w:right w:val="single" w:sz="8" w:space="0" w:color="000000"/>
            </w:tcBorders>
            <w:shd w:val="clear" w:color="auto" w:fill="FF0000"/>
            <w:tcMar>
              <w:top w:w="100" w:type="dxa"/>
              <w:left w:w="100" w:type="dxa"/>
              <w:bottom w:w="100" w:type="dxa"/>
              <w:right w:w="100" w:type="dxa"/>
            </w:tcMar>
            <w:vAlign w:val="center"/>
          </w:tcPr>
          <w:p w14:paraId="54B6D4B5" w14:textId="6F42D499" w:rsidR="00565D28" w:rsidRPr="000325F8" w:rsidRDefault="00565D28"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Probabilità alta</w:t>
            </w:r>
          </w:p>
        </w:tc>
        <w:tc>
          <w:tcPr>
            <w:tcW w:w="5144"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50AF79A" w14:textId="71E2E48F" w:rsidR="00565D28" w:rsidRPr="000325F8" w:rsidRDefault="00565D28" w:rsidP="000325F8">
            <w:pPr>
              <w:spacing w:after="0" w:line="240" w:lineRule="auto"/>
              <w:jc w:val="both"/>
              <w:rPr>
                <w:rFonts w:ascii="Garamond" w:eastAsia="Garamond" w:hAnsi="Garamond" w:cs="Garamond"/>
                <w:sz w:val="18"/>
                <w:szCs w:val="18"/>
              </w:rPr>
            </w:pPr>
            <w:r w:rsidRPr="000325F8">
              <w:rPr>
                <w:rFonts w:ascii="Garamond" w:eastAsia="Garamond" w:hAnsi="Garamond" w:cs="Garamond"/>
                <w:sz w:val="18"/>
                <w:szCs w:val="18"/>
              </w:rPr>
              <w:t>Esiste una correlazione diretta tra la non conformità rilevata ed il verificarsi dell'evento ipotizzato. Si sono già verificati molti episodi per la stessa non conformità rilevata in situazioni operative simili. Alta presenza di criteri oggettivi nell’individuazione del livello delle probabilità.</w:t>
            </w:r>
          </w:p>
        </w:tc>
      </w:tr>
    </w:tbl>
    <w:p w14:paraId="2A0C8447" w14:textId="34FFA167" w:rsidR="00EC1228" w:rsidRPr="009E526D" w:rsidRDefault="00EC1228" w:rsidP="009E526D">
      <w:pPr>
        <w:pStyle w:val="Titolo2"/>
        <w:spacing w:before="120" w:after="120" w:line="240" w:lineRule="auto"/>
        <w:rPr>
          <w:rFonts w:ascii="Garamond" w:hAnsi="Garamond"/>
          <w:bCs w:val="0"/>
          <w:color w:val="00B0F0"/>
          <w:sz w:val="22"/>
          <w:szCs w:val="22"/>
          <w:lang w:eastAsia="it-IT"/>
        </w:rPr>
      </w:pPr>
      <w:bookmarkStart w:id="12" w:name="_Toc875889"/>
      <w:r w:rsidRPr="009E526D">
        <w:rPr>
          <w:rFonts w:ascii="Garamond" w:hAnsi="Garamond"/>
          <w:bCs w:val="0"/>
          <w:color w:val="00B0F0"/>
          <w:sz w:val="22"/>
          <w:szCs w:val="22"/>
          <w:lang w:eastAsia="it-IT"/>
        </w:rPr>
        <w:lastRenderedPageBreak/>
        <w:t>5.</w:t>
      </w:r>
      <w:r w:rsidR="0066152D" w:rsidRPr="009E526D">
        <w:rPr>
          <w:rFonts w:ascii="Garamond" w:hAnsi="Garamond"/>
          <w:bCs w:val="0"/>
          <w:color w:val="00B0F0"/>
          <w:sz w:val="22"/>
          <w:szCs w:val="22"/>
          <w:lang w:eastAsia="it-IT"/>
        </w:rPr>
        <w:t>3</w:t>
      </w:r>
      <w:r w:rsidRPr="009E526D">
        <w:rPr>
          <w:rFonts w:ascii="Garamond" w:hAnsi="Garamond"/>
          <w:bCs w:val="0"/>
          <w:color w:val="00B0F0"/>
          <w:sz w:val="22"/>
          <w:szCs w:val="22"/>
          <w:lang w:eastAsia="it-IT"/>
        </w:rPr>
        <w:t xml:space="preserve"> Valutazione dell</w:t>
      </w:r>
      <w:r w:rsidR="00565D28" w:rsidRPr="009E526D">
        <w:rPr>
          <w:rFonts w:ascii="Garamond" w:hAnsi="Garamond"/>
          <w:bCs w:val="0"/>
          <w:color w:val="00B0F0"/>
          <w:sz w:val="22"/>
          <w:szCs w:val="22"/>
          <w:lang w:eastAsia="it-IT"/>
        </w:rPr>
        <w:t>’</w:t>
      </w:r>
      <w:r w:rsidR="005C6628" w:rsidRPr="009E526D">
        <w:rPr>
          <w:rFonts w:ascii="Garamond" w:hAnsi="Garamond"/>
          <w:bCs w:val="0"/>
          <w:color w:val="00B0F0"/>
          <w:sz w:val="22"/>
          <w:szCs w:val="22"/>
          <w:lang w:eastAsia="it-IT"/>
        </w:rPr>
        <w:t>i</w:t>
      </w:r>
      <w:r w:rsidR="00565D28" w:rsidRPr="009E526D">
        <w:rPr>
          <w:rFonts w:ascii="Garamond" w:hAnsi="Garamond"/>
          <w:bCs w:val="0"/>
          <w:color w:val="00B0F0"/>
          <w:sz w:val="22"/>
          <w:szCs w:val="22"/>
          <w:lang w:eastAsia="it-IT"/>
        </w:rPr>
        <w:t>mpatto</w:t>
      </w:r>
      <w:r w:rsidRPr="009E526D">
        <w:rPr>
          <w:rFonts w:ascii="Garamond" w:hAnsi="Garamond"/>
          <w:bCs w:val="0"/>
          <w:color w:val="00B0F0"/>
          <w:sz w:val="22"/>
          <w:szCs w:val="22"/>
          <w:lang w:eastAsia="it-IT"/>
        </w:rPr>
        <w:t xml:space="preserve"> (</w:t>
      </w:r>
      <w:r w:rsidR="00565D28" w:rsidRPr="009E526D">
        <w:rPr>
          <w:rFonts w:ascii="Garamond" w:hAnsi="Garamond"/>
          <w:bCs w:val="0"/>
          <w:color w:val="00B0F0"/>
          <w:sz w:val="22"/>
          <w:szCs w:val="22"/>
          <w:lang w:eastAsia="it-IT"/>
        </w:rPr>
        <w:t>I</w:t>
      </w:r>
      <w:r w:rsidRPr="009E526D">
        <w:rPr>
          <w:rFonts w:ascii="Garamond" w:hAnsi="Garamond"/>
          <w:bCs w:val="0"/>
          <w:color w:val="00B0F0"/>
          <w:sz w:val="22"/>
          <w:szCs w:val="22"/>
          <w:lang w:eastAsia="it-IT"/>
        </w:rPr>
        <w:t>)</w:t>
      </w:r>
      <w:bookmarkEnd w:id="12"/>
    </w:p>
    <w:tbl>
      <w:tblPr>
        <w:tblW w:w="8805" w:type="dxa"/>
        <w:jc w:val="center"/>
        <w:tblBorders>
          <w:top w:val="nil"/>
          <w:left w:val="nil"/>
          <w:bottom w:val="nil"/>
          <w:right w:val="nil"/>
          <w:insideH w:val="nil"/>
          <w:insideV w:val="nil"/>
        </w:tblBorders>
        <w:tblLayout w:type="fixed"/>
        <w:tblLook w:val="0600" w:firstRow="0" w:lastRow="0" w:firstColumn="0" w:lastColumn="0" w:noHBand="1" w:noVBand="1"/>
      </w:tblPr>
      <w:tblGrid>
        <w:gridCol w:w="1550"/>
        <w:gridCol w:w="2551"/>
        <w:gridCol w:w="4704"/>
      </w:tblGrid>
      <w:tr w:rsidR="005D69C2" w:rsidRPr="00EC659E" w14:paraId="328BFE7F" w14:textId="77777777" w:rsidTr="00DA283D">
        <w:trPr>
          <w:jc w:val="center"/>
        </w:trPr>
        <w:tc>
          <w:tcPr>
            <w:tcW w:w="1550" w:type="dxa"/>
            <w:tcBorders>
              <w:top w:val="single" w:sz="4" w:space="0" w:color="auto"/>
              <w:left w:val="single" w:sz="8" w:space="0" w:color="000000"/>
              <w:bottom w:val="single" w:sz="8" w:space="0" w:color="000000"/>
              <w:right w:val="single" w:sz="8" w:space="0" w:color="000000"/>
            </w:tcBorders>
            <w:shd w:val="clear" w:color="auto" w:fill="830D28"/>
            <w:tcMar>
              <w:top w:w="100" w:type="dxa"/>
              <w:left w:w="100" w:type="dxa"/>
              <w:bottom w:w="100" w:type="dxa"/>
              <w:right w:w="100" w:type="dxa"/>
            </w:tcMar>
            <w:vAlign w:val="center"/>
          </w:tcPr>
          <w:p w14:paraId="3F1554BD" w14:textId="6C92FD57" w:rsidR="005D69C2" w:rsidRPr="000325F8" w:rsidRDefault="005D69C2" w:rsidP="000325F8">
            <w:pPr>
              <w:spacing w:after="0" w:line="240" w:lineRule="auto"/>
              <w:jc w:val="center"/>
              <w:rPr>
                <w:rFonts w:ascii="Garamond" w:eastAsia="Garamond" w:hAnsi="Garamond" w:cs="Garamond"/>
                <w:b/>
                <w:color w:val="FFFFFF" w:themeColor="background1"/>
                <w:sz w:val="18"/>
                <w:szCs w:val="18"/>
              </w:rPr>
            </w:pPr>
            <w:r w:rsidRPr="000325F8">
              <w:rPr>
                <w:rFonts w:ascii="Garamond" w:eastAsia="Garamond" w:hAnsi="Garamond" w:cs="Garamond"/>
                <w:b/>
                <w:color w:val="FFFFFF" w:themeColor="background1"/>
                <w:sz w:val="18"/>
                <w:szCs w:val="18"/>
              </w:rPr>
              <w:t>Indice numerico</w:t>
            </w:r>
          </w:p>
        </w:tc>
        <w:tc>
          <w:tcPr>
            <w:tcW w:w="2551" w:type="dxa"/>
            <w:tcBorders>
              <w:top w:val="single" w:sz="4" w:space="0" w:color="auto"/>
              <w:left w:val="single" w:sz="4" w:space="0" w:color="auto"/>
              <w:bottom w:val="single" w:sz="4" w:space="0" w:color="auto"/>
              <w:right w:val="single" w:sz="4" w:space="0" w:color="auto"/>
            </w:tcBorders>
            <w:shd w:val="clear" w:color="auto" w:fill="830C28"/>
            <w:tcMar>
              <w:top w:w="100" w:type="dxa"/>
              <w:left w:w="100" w:type="dxa"/>
              <w:bottom w:w="100" w:type="dxa"/>
              <w:right w:w="100" w:type="dxa"/>
            </w:tcMar>
            <w:vAlign w:val="center"/>
          </w:tcPr>
          <w:p w14:paraId="3060A782" w14:textId="77777777" w:rsidR="005D69C2" w:rsidRPr="000325F8" w:rsidRDefault="005D69C2" w:rsidP="000325F8">
            <w:pPr>
              <w:spacing w:after="0" w:line="240" w:lineRule="auto"/>
              <w:jc w:val="center"/>
              <w:rPr>
                <w:rFonts w:ascii="Garamond" w:eastAsia="Garamond" w:hAnsi="Garamond" w:cs="Garamond"/>
                <w:b/>
                <w:color w:val="FFFFFF" w:themeColor="background1"/>
                <w:sz w:val="18"/>
                <w:szCs w:val="18"/>
              </w:rPr>
            </w:pPr>
            <w:r w:rsidRPr="000325F8">
              <w:rPr>
                <w:rFonts w:ascii="Garamond" w:eastAsia="Garamond" w:hAnsi="Garamond" w:cs="Garamond"/>
                <w:b/>
                <w:color w:val="FFFFFF" w:themeColor="background1"/>
                <w:sz w:val="18"/>
                <w:szCs w:val="18"/>
              </w:rPr>
              <w:t>Livello</w:t>
            </w:r>
          </w:p>
        </w:tc>
        <w:tc>
          <w:tcPr>
            <w:tcW w:w="4704" w:type="dxa"/>
            <w:tcBorders>
              <w:top w:val="single" w:sz="4" w:space="0" w:color="auto"/>
              <w:left w:val="single" w:sz="4" w:space="0" w:color="auto"/>
              <w:bottom w:val="single" w:sz="4" w:space="0" w:color="auto"/>
              <w:right w:val="single" w:sz="4" w:space="0" w:color="auto"/>
            </w:tcBorders>
            <w:shd w:val="clear" w:color="auto" w:fill="830C28"/>
            <w:tcMar>
              <w:top w:w="100" w:type="dxa"/>
              <w:left w:w="100" w:type="dxa"/>
              <w:bottom w:w="100" w:type="dxa"/>
              <w:right w:w="100" w:type="dxa"/>
            </w:tcMar>
            <w:vAlign w:val="center"/>
          </w:tcPr>
          <w:p w14:paraId="0706FFB2" w14:textId="77777777" w:rsidR="005D69C2" w:rsidRPr="000325F8" w:rsidRDefault="005D69C2" w:rsidP="000325F8">
            <w:pPr>
              <w:spacing w:after="0" w:line="240" w:lineRule="auto"/>
              <w:jc w:val="center"/>
              <w:rPr>
                <w:rFonts w:ascii="Garamond" w:eastAsia="Garamond" w:hAnsi="Garamond" w:cs="Garamond"/>
                <w:b/>
                <w:color w:val="FFFFFF" w:themeColor="background1"/>
                <w:sz w:val="18"/>
                <w:szCs w:val="18"/>
              </w:rPr>
            </w:pPr>
            <w:r w:rsidRPr="000325F8">
              <w:rPr>
                <w:rFonts w:ascii="Garamond" w:eastAsia="Garamond" w:hAnsi="Garamond" w:cs="Garamond"/>
                <w:b/>
                <w:color w:val="FFFFFF" w:themeColor="background1"/>
                <w:sz w:val="18"/>
                <w:szCs w:val="18"/>
              </w:rPr>
              <w:t>Definizione/criterio</w:t>
            </w:r>
          </w:p>
        </w:tc>
      </w:tr>
      <w:tr w:rsidR="005D69C2" w:rsidRPr="00EC659E" w14:paraId="67C37699" w14:textId="77777777" w:rsidTr="00DA283D">
        <w:trPr>
          <w:trHeight w:val="381"/>
          <w:jc w:val="center"/>
        </w:trPr>
        <w:tc>
          <w:tcPr>
            <w:tcW w:w="15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FD1922" w14:textId="2D445028"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1</w:t>
            </w:r>
          </w:p>
        </w:tc>
        <w:tc>
          <w:tcPr>
            <w:tcW w:w="2551" w:type="dxa"/>
            <w:tcBorders>
              <w:top w:val="single" w:sz="4" w:space="0" w:color="auto"/>
              <w:bottom w:val="single" w:sz="8" w:space="0" w:color="000000"/>
              <w:right w:val="single" w:sz="8" w:space="0" w:color="000000"/>
            </w:tcBorders>
            <w:shd w:val="clear" w:color="auto" w:fill="00B050"/>
            <w:tcMar>
              <w:top w:w="100" w:type="dxa"/>
              <w:left w:w="100" w:type="dxa"/>
              <w:bottom w:w="100" w:type="dxa"/>
              <w:right w:w="100" w:type="dxa"/>
            </w:tcMar>
            <w:vAlign w:val="center"/>
          </w:tcPr>
          <w:p w14:paraId="60BA0D2F" w14:textId="5845509B"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Conseguenze</w:t>
            </w:r>
            <w:r w:rsidR="009F4C0D">
              <w:rPr>
                <w:rFonts w:ascii="Garamond" w:eastAsia="Garamond" w:hAnsi="Garamond" w:cs="Garamond"/>
                <w:b/>
                <w:sz w:val="18"/>
                <w:szCs w:val="18"/>
              </w:rPr>
              <w:t>:</w:t>
            </w:r>
            <w:r w:rsidRPr="000325F8">
              <w:rPr>
                <w:rFonts w:ascii="Garamond" w:eastAsia="Garamond" w:hAnsi="Garamond" w:cs="Garamond"/>
                <w:b/>
                <w:sz w:val="18"/>
                <w:szCs w:val="18"/>
              </w:rPr>
              <w:t xml:space="preserve"> basse</w:t>
            </w:r>
          </w:p>
        </w:tc>
        <w:tc>
          <w:tcPr>
            <w:tcW w:w="4704"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C98AA20" w14:textId="6CF4B311"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Evento di scarsa entità, con conseguenze facilmente contenibili localmente</w:t>
            </w:r>
          </w:p>
        </w:tc>
      </w:tr>
      <w:tr w:rsidR="005D69C2" w:rsidRPr="00EC659E" w14:paraId="30A659ED" w14:textId="77777777" w:rsidTr="00DA283D">
        <w:trPr>
          <w:trHeight w:val="201"/>
          <w:jc w:val="center"/>
        </w:trPr>
        <w:tc>
          <w:tcPr>
            <w:tcW w:w="1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D0ED5A" w14:textId="61BA0F9A"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2</w:t>
            </w:r>
          </w:p>
        </w:tc>
        <w:tc>
          <w:tcPr>
            <w:tcW w:w="2551" w:type="dxa"/>
            <w:tcBorders>
              <w:bottom w:val="single" w:sz="8" w:space="0" w:color="000000"/>
              <w:right w:val="single" w:sz="8" w:space="0" w:color="000000"/>
            </w:tcBorders>
            <w:shd w:val="clear" w:color="auto" w:fill="92D050"/>
            <w:tcMar>
              <w:top w:w="100" w:type="dxa"/>
              <w:left w:w="100" w:type="dxa"/>
              <w:bottom w:w="100" w:type="dxa"/>
              <w:right w:w="100" w:type="dxa"/>
            </w:tcMar>
            <w:vAlign w:val="center"/>
          </w:tcPr>
          <w:p w14:paraId="452E51F1" w14:textId="76322DA9" w:rsidR="005D69C2" w:rsidRPr="000325F8" w:rsidRDefault="005D69C2" w:rsidP="009F4C0D">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Conseguenze</w:t>
            </w:r>
            <w:r w:rsidR="009F4C0D">
              <w:rPr>
                <w:rFonts w:ascii="Garamond" w:eastAsia="Garamond" w:hAnsi="Garamond" w:cs="Garamond"/>
                <w:b/>
                <w:sz w:val="18"/>
                <w:szCs w:val="18"/>
              </w:rPr>
              <w:t xml:space="preserve">: </w:t>
            </w:r>
            <w:r w:rsidRPr="000325F8">
              <w:rPr>
                <w:rFonts w:ascii="Garamond" w:eastAsia="Garamond" w:hAnsi="Garamond" w:cs="Garamond"/>
                <w:b/>
                <w:sz w:val="18"/>
                <w:szCs w:val="18"/>
              </w:rPr>
              <w:t>medio-basse</w:t>
            </w:r>
          </w:p>
        </w:tc>
        <w:tc>
          <w:tcPr>
            <w:tcW w:w="4704" w:type="dxa"/>
            <w:tcBorders>
              <w:bottom w:val="single" w:sz="8" w:space="0" w:color="000000"/>
              <w:right w:val="single" w:sz="8" w:space="0" w:color="000000"/>
            </w:tcBorders>
            <w:shd w:val="clear" w:color="auto" w:fill="auto"/>
            <w:tcMar>
              <w:top w:w="100" w:type="dxa"/>
              <w:left w:w="100" w:type="dxa"/>
              <w:bottom w:w="100" w:type="dxa"/>
              <w:right w:w="100" w:type="dxa"/>
            </w:tcMar>
          </w:tcPr>
          <w:p w14:paraId="1D0A5688" w14:textId="436E10D6"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Evento di bassa entità, che coinvolge parte dell'Organizzazione</w:t>
            </w:r>
          </w:p>
        </w:tc>
      </w:tr>
      <w:tr w:rsidR="005D69C2" w:rsidRPr="00EC659E" w14:paraId="618DB1BD" w14:textId="77777777" w:rsidTr="00DA283D">
        <w:trPr>
          <w:trHeight w:val="221"/>
          <w:jc w:val="center"/>
        </w:trPr>
        <w:tc>
          <w:tcPr>
            <w:tcW w:w="1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A3A354" w14:textId="197CE36E"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3</w:t>
            </w:r>
          </w:p>
        </w:tc>
        <w:tc>
          <w:tcPr>
            <w:tcW w:w="2551" w:type="dxa"/>
            <w:tcBorders>
              <w:bottom w:val="single" w:sz="8" w:space="0" w:color="000000"/>
              <w:right w:val="single" w:sz="8" w:space="0" w:color="000000"/>
            </w:tcBorders>
            <w:shd w:val="clear" w:color="auto" w:fill="FFFF00"/>
            <w:tcMar>
              <w:top w:w="100" w:type="dxa"/>
              <w:left w:w="100" w:type="dxa"/>
              <w:bottom w:w="100" w:type="dxa"/>
              <w:right w:w="100" w:type="dxa"/>
            </w:tcMar>
            <w:vAlign w:val="center"/>
          </w:tcPr>
          <w:p w14:paraId="6BBD9F09" w14:textId="2BA33D59" w:rsidR="005D69C2" w:rsidRPr="000325F8" w:rsidRDefault="005D69C2" w:rsidP="009F4C0D">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Conseguenze</w:t>
            </w:r>
            <w:r w:rsidR="009F4C0D">
              <w:rPr>
                <w:rFonts w:ascii="Garamond" w:eastAsia="Garamond" w:hAnsi="Garamond" w:cs="Garamond"/>
                <w:b/>
                <w:sz w:val="18"/>
                <w:szCs w:val="18"/>
              </w:rPr>
              <w:t xml:space="preserve">: </w:t>
            </w:r>
            <w:r w:rsidRPr="000325F8">
              <w:rPr>
                <w:rFonts w:ascii="Garamond" w:eastAsia="Garamond" w:hAnsi="Garamond" w:cs="Garamond"/>
                <w:b/>
                <w:sz w:val="18"/>
                <w:szCs w:val="18"/>
              </w:rPr>
              <w:t>medie</w:t>
            </w:r>
          </w:p>
        </w:tc>
        <w:tc>
          <w:tcPr>
            <w:tcW w:w="4704" w:type="dxa"/>
            <w:tcBorders>
              <w:bottom w:val="single" w:sz="8" w:space="0" w:color="000000"/>
              <w:right w:val="single" w:sz="8" w:space="0" w:color="000000"/>
            </w:tcBorders>
            <w:shd w:val="clear" w:color="auto" w:fill="auto"/>
            <w:tcMar>
              <w:top w:w="100" w:type="dxa"/>
              <w:left w:w="100" w:type="dxa"/>
              <w:bottom w:w="100" w:type="dxa"/>
              <w:right w:w="100" w:type="dxa"/>
            </w:tcMar>
          </w:tcPr>
          <w:p w14:paraId="45A83889" w14:textId="03E7F059"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Evento di media entità, che coinvolge una o più parti dell'Organizzazione</w:t>
            </w:r>
          </w:p>
        </w:tc>
      </w:tr>
      <w:tr w:rsidR="005D69C2" w:rsidRPr="00EC659E" w14:paraId="49E9DEC3" w14:textId="77777777" w:rsidTr="00DA283D">
        <w:trPr>
          <w:trHeight w:val="754"/>
          <w:jc w:val="center"/>
        </w:trPr>
        <w:tc>
          <w:tcPr>
            <w:tcW w:w="1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F5E940" w14:textId="5F95CE7E"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4</w:t>
            </w:r>
          </w:p>
        </w:tc>
        <w:tc>
          <w:tcPr>
            <w:tcW w:w="2551" w:type="dxa"/>
            <w:tcBorders>
              <w:bottom w:val="single" w:sz="8" w:space="0" w:color="000000"/>
              <w:right w:val="single" w:sz="8" w:space="0" w:color="000000"/>
            </w:tcBorders>
            <w:shd w:val="clear" w:color="auto" w:fill="FFC000"/>
            <w:tcMar>
              <w:top w:w="100" w:type="dxa"/>
              <w:left w:w="100" w:type="dxa"/>
              <w:bottom w:w="100" w:type="dxa"/>
              <w:right w:w="100" w:type="dxa"/>
            </w:tcMar>
            <w:vAlign w:val="center"/>
          </w:tcPr>
          <w:p w14:paraId="1C021844" w14:textId="16DA93B6" w:rsidR="005D69C2" w:rsidRPr="000325F8" w:rsidRDefault="005D69C2" w:rsidP="009F4C0D">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Conseguenze</w:t>
            </w:r>
            <w:r w:rsidR="009F4C0D">
              <w:rPr>
                <w:rFonts w:ascii="Garamond" w:eastAsia="Garamond" w:hAnsi="Garamond" w:cs="Garamond"/>
                <w:b/>
                <w:sz w:val="18"/>
                <w:szCs w:val="18"/>
              </w:rPr>
              <w:t xml:space="preserve">: </w:t>
            </w:r>
            <w:r w:rsidRPr="000325F8">
              <w:rPr>
                <w:rFonts w:ascii="Garamond" w:eastAsia="Garamond" w:hAnsi="Garamond" w:cs="Garamond"/>
                <w:b/>
                <w:sz w:val="18"/>
                <w:szCs w:val="18"/>
              </w:rPr>
              <w:t>medio-alte</w:t>
            </w:r>
          </w:p>
        </w:tc>
        <w:tc>
          <w:tcPr>
            <w:tcW w:w="4704" w:type="dxa"/>
            <w:tcBorders>
              <w:bottom w:val="single" w:sz="8" w:space="0" w:color="000000"/>
              <w:right w:val="single" w:sz="8" w:space="0" w:color="000000"/>
            </w:tcBorders>
            <w:shd w:val="clear" w:color="auto" w:fill="auto"/>
            <w:tcMar>
              <w:top w:w="100" w:type="dxa"/>
              <w:left w:w="100" w:type="dxa"/>
              <w:bottom w:w="100" w:type="dxa"/>
              <w:right w:w="100" w:type="dxa"/>
            </w:tcMar>
          </w:tcPr>
          <w:p w14:paraId="6BC5B83C" w14:textId="77777777"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Evento di grave entità, che coinvolge una o più parti dell'Organizzazione,</w:t>
            </w:r>
          </w:p>
          <w:p w14:paraId="2899EE17" w14:textId="77777777"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oppure:</w:t>
            </w:r>
          </w:p>
          <w:p w14:paraId="17699E48" w14:textId="6B3574E0"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Evento di media entità, che coinvolge gran parte o l’intera organizzazione</w:t>
            </w:r>
          </w:p>
        </w:tc>
      </w:tr>
      <w:tr w:rsidR="005D69C2" w:rsidRPr="00EC659E" w14:paraId="02640FD1" w14:textId="77777777" w:rsidTr="00DA283D">
        <w:trPr>
          <w:trHeight w:val="105"/>
          <w:jc w:val="center"/>
        </w:trPr>
        <w:tc>
          <w:tcPr>
            <w:tcW w:w="1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D97BA8" w14:textId="111FA4F2"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5</w:t>
            </w:r>
          </w:p>
        </w:tc>
        <w:tc>
          <w:tcPr>
            <w:tcW w:w="2551" w:type="dxa"/>
            <w:tcBorders>
              <w:bottom w:val="single" w:sz="8" w:space="0" w:color="000000"/>
              <w:right w:val="single" w:sz="8" w:space="0" w:color="000000"/>
            </w:tcBorders>
            <w:shd w:val="clear" w:color="auto" w:fill="FF0000"/>
            <w:tcMar>
              <w:top w:w="100" w:type="dxa"/>
              <w:left w:w="100" w:type="dxa"/>
              <w:bottom w:w="100" w:type="dxa"/>
              <w:right w:w="100" w:type="dxa"/>
            </w:tcMar>
            <w:vAlign w:val="center"/>
          </w:tcPr>
          <w:p w14:paraId="0369A16B" w14:textId="5A6168AF" w:rsidR="005D69C2" w:rsidRPr="000325F8" w:rsidRDefault="005D69C2" w:rsidP="000325F8">
            <w:pPr>
              <w:spacing w:after="0" w:line="240" w:lineRule="auto"/>
              <w:jc w:val="center"/>
              <w:rPr>
                <w:rFonts w:ascii="Garamond" w:eastAsia="Garamond" w:hAnsi="Garamond" w:cs="Garamond"/>
                <w:b/>
                <w:sz w:val="18"/>
                <w:szCs w:val="18"/>
              </w:rPr>
            </w:pPr>
            <w:r w:rsidRPr="000325F8">
              <w:rPr>
                <w:rFonts w:ascii="Garamond" w:eastAsia="Garamond" w:hAnsi="Garamond" w:cs="Garamond"/>
                <w:b/>
                <w:sz w:val="18"/>
                <w:szCs w:val="18"/>
              </w:rPr>
              <w:t>Conseguenze</w:t>
            </w:r>
            <w:r w:rsidR="009F4C0D">
              <w:rPr>
                <w:rFonts w:ascii="Garamond" w:eastAsia="Garamond" w:hAnsi="Garamond" w:cs="Garamond"/>
                <w:b/>
                <w:sz w:val="18"/>
                <w:szCs w:val="18"/>
              </w:rPr>
              <w:t>:</w:t>
            </w:r>
            <w:r w:rsidRPr="000325F8">
              <w:rPr>
                <w:rFonts w:ascii="Garamond" w:eastAsia="Garamond" w:hAnsi="Garamond" w:cs="Garamond"/>
                <w:b/>
                <w:sz w:val="18"/>
                <w:szCs w:val="18"/>
              </w:rPr>
              <w:t xml:space="preserve"> alte</w:t>
            </w:r>
          </w:p>
        </w:tc>
        <w:tc>
          <w:tcPr>
            <w:tcW w:w="4704" w:type="dxa"/>
            <w:tcBorders>
              <w:bottom w:val="single" w:sz="8" w:space="0" w:color="000000"/>
              <w:right w:val="single" w:sz="8" w:space="0" w:color="000000"/>
            </w:tcBorders>
            <w:shd w:val="clear" w:color="auto" w:fill="auto"/>
            <w:tcMar>
              <w:top w:w="100" w:type="dxa"/>
              <w:left w:w="100" w:type="dxa"/>
              <w:bottom w:w="100" w:type="dxa"/>
              <w:right w:w="100" w:type="dxa"/>
            </w:tcMar>
          </w:tcPr>
          <w:p w14:paraId="066240FE" w14:textId="77777777" w:rsidR="005D69C2" w:rsidRPr="000325F8" w:rsidRDefault="005D69C2" w:rsidP="000325F8">
            <w:pPr>
              <w:spacing w:after="0" w:line="240" w:lineRule="auto"/>
              <w:jc w:val="center"/>
              <w:rPr>
                <w:rFonts w:ascii="Garamond" w:eastAsia="Garamond" w:hAnsi="Garamond" w:cs="Garamond"/>
                <w:sz w:val="18"/>
                <w:szCs w:val="18"/>
              </w:rPr>
            </w:pPr>
            <w:r w:rsidRPr="000325F8">
              <w:rPr>
                <w:rFonts w:ascii="Garamond" w:eastAsia="Garamond" w:hAnsi="Garamond" w:cs="Garamond"/>
                <w:sz w:val="18"/>
                <w:szCs w:val="18"/>
              </w:rPr>
              <w:t>Evento di grave entità, che coinvolge l'intera Organizzazione</w:t>
            </w:r>
          </w:p>
        </w:tc>
      </w:tr>
    </w:tbl>
    <w:p w14:paraId="0F428FF4" w14:textId="6779A187" w:rsidR="0066152D" w:rsidRPr="009E526D" w:rsidRDefault="0066152D" w:rsidP="009E526D">
      <w:pPr>
        <w:pStyle w:val="Titolo1"/>
        <w:numPr>
          <w:ilvl w:val="0"/>
          <w:numId w:val="1"/>
        </w:numPr>
        <w:spacing w:before="120" w:after="120" w:line="240" w:lineRule="auto"/>
        <w:ind w:left="0" w:firstLine="0"/>
        <w:rPr>
          <w:rFonts w:ascii="Garamond" w:hAnsi="Garamond"/>
          <w:bCs w:val="0"/>
          <w:color w:val="00B0F0"/>
          <w:sz w:val="22"/>
          <w:szCs w:val="22"/>
          <w:lang w:eastAsia="it-IT"/>
        </w:rPr>
      </w:pPr>
      <w:bookmarkStart w:id="13" w:name="_Toc875890"/>
      <w:r w:rsidRPr="009E526D">
        <w:rPr>
          <w:rFonts w:ascii="Garamond" w:hAnsi="Garamond"/>
          <w:bCs w:val="0"/>
          <w:color w:val="00B0F0"/>
          <w:sz w:val="22"/>
          <w:szCs w:val="22"/>
          <w:lang w:eastAsia="it-IT"/>
        </w:rPr>
        <w:t>Modalità operative</w:t>
      </w:r>
      <w:bookmarkEnd w:id="13"/>
    </w:p>
    <w:p w14:paraId="7D417B99" w14:textId="5C0FD38D" w:rsidR="000D7165" w:rsidRPr="00336F21" w:rsidRDefault="00DA283D" w:rsidP="009E526D">
      <w:pPr>
        <w:spacing w:after="0" w:line="240" w:lineRule="auto"/>
        <w:rPr>
          <w:rFonts w:ascii="Gotham Light" w:hAnsi="Gotham Light"/>
          <w:noProof/>
          <w:sz w:val="20"/>
          <w:szCs w:val="20"/>
          <w:lang w:eastAsia="it-IT"/>
        </w:rPr>
      </w:pPr>
      <w:r w:rsidRPr="009E526D">
        <w:rPr>
          <w:rFonts w:ascii="Garamond" w:hAnsi="Garamond"/>
          <w:noProof/>
          <w:sz w:val="20"/>
          <w:szCs w:val="20"/>
          <w:lang w:eastAsia="it-IT"/>
        </w:rPr>
        <w:drawing>
          <wp:anchor distT="0" distB="0" distL="114300" distR="114300" simplePos="0" relativeHeight="251660288" behindDoc="0" locked="0" layoutInCell="1" allowOverlap="1" wp14:anchorId="58F676D0" wp14:editId="2F409426">
            <wp:simplePos x="0" y="0"/>
            <wp:positionH relativeFrom="margin">
              <wp:posOffset>-33655</wp:posOffset>
            </wp:positionH>
            <wp:positionV relativeFrom="paragraph">
              <wp:posOffset>237490</wp:posOffset>
            </wp:positionV>
            <wp:extent cx="4150360" cy="3095625"/>
            <wp:effectExtent l="0" t="0" r="2540" b="952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0360" cy="3095625"/>
                    </a:xfrm>
                    <a:prstGeom prst="rect">
                      <a:avLst/>
                    </a:prstGeom>
                  </pic:spPr>
                </pic:pic>
              </a:graphicData>
            </a:graphic>
            <wp14:sizeRelH relativeFrom="margin">
              <wp14:pctWidth>0</wp14:pctWidth>
            </wp14:sizeRelH>
            <wp14:sizeRelV relativeFrom="margin">
              <wp14:pctHeight>0</wp14:pctHeight>
            </wp14:sizeRelV>
          </wp:anchor>
        </w:drawing>
      </w:r>
      <w:r w:rsidR="00336F21" w:rsidRPr="009E526D">
        <w:rPr>
          <w:rFonts w:ascii="Garamond" w:hAnsi="Garamond"/>
          <w:noProof/>
          <w:sz w:val="20"/>
          <w:szCs w:val="20"/>
          <w:lang w:eastAsia="it-IT"/>
        </w:rPr>
        <w:t>Il processo di gestione del rischio si sviluppa secondo il seguente schema</w:t>
      </w:r>
      <w:r w:rsidR="00336F21" w:rsidRPr="00336F21">
        <w:rPr>
          <w:rFonts w:ascii="Gotham Light" w:hAnsi="Gotham Light"/>
          <w:noProof/>
          <w:sz w:val="20"/>
          <w:szCs w:val="20"/>
          <w:lang w:eastAsia="it-IT"/>
        </w:rPr>
        <w:t>:</w:t>
      </w:r>
    </w:p>
    <w:p w14:paraId="3EB73AA2" w14:textId="2F0B357D" w:rsidR="00DA283D" w:rsidRPr="00017FD6" w:rsidRDefault="00DA283D" w:rsidP="00DA283D">
      <w:pPr>
        <w:pStyle w:val="Paragrafoelenco"/>
        <w:spacing w:after="0" w:line="240" w:lineRule="auto"/>
        <w:ind w:left="0" w:right="159"/>
        <w:jc w:val="both"/>
        <w:rPr>
          <w:rFonts w:ascii="Garamond" w:eastAsia="Garamond" w:hAnsi="Garamond" w:cs="Garamond"/>
          <w:sz w:val="6"/>
          <w:szCs w:val="6"/>
        </w:rPr>
      </w:pPr>
    </w:p>
    <w:p w14:paraId="3CCAE377" w14:textId="77777777" w:rsidR="0066152D" w:rsidRPr="00DA283D" w:rsidRDefault="0066152D" w:rsidP="00DA283D">
      <w:pPr>
        <w:pStyle w:val="Paragrafoelenco"/>
        <w:spacing w:after="0" w:line="240" w:lineRule="auto"/>
        <w:ind w:left="0" w:right="159"/>
        <w:jc w:val="both"/>
        <w:rPr>
          <w:rFonts w:ascii="Garamond" w:eastAsia="Garamond" w:hAnsi="Garamond" w:cs="Garamond"/>
          <w:sz w:val="20"/>
          <w:szCs w:val="20"/>
        </w:rPr>
      </w:pPr>
      <w:r w:rsidRPr="00DA283D">
        <w:rPr>
          <w:rFonts w:ascii="Garamond" w:eastAsia="Garamond" w:hAnsi="Garamond" w:cs="Garamond"/>
          <w:sz w:val="20"/>
          <w:szCs w:val="20"/>
        </w:rPr>
        <w:t>Il processo di gestione del rischio sarà:</w:t>
      </w:r>
    </w:p>
    <w:p w14:paraId="62F30AA7" w14:textId="53728697" w:rsidR="0066152D" w:rsidRPr="00DA283D" w:rsidRDefault="00DA283D" w:rsidP="00DA283D">
      <w:pPr>
        <w:spacing w:after="0" w:line="240" w:lineRule="auto"/>
        <w:ind w:right="159"/>
        <w:jc w:val="both"/>
        <w:rPr>
          <w:rFonts w:ascii="Garamond" w:eastAsia="Garamond" w:hAnsi="Garamond" w:cs="Garamond"/>
          <w:i/>
          <w:sz w:val="20"/>
          <w:szCs w:val="20"/>
        </w:rPr>
      </w:pPr>
      <w:r w:rsidRPr="00DA283D">
        <w:rPr>
          <w:rFonts w:ascii="Garamond" w:eastAsia="Garamond" w:hAnsi="Garamond" w:cs="Garamond"/>
          <w:sz w:val="20"/>
          <w:szCs w:val="20"/>
        </w:rPr>
        <w:t>-</w:t>
      </w:r>
      <w:r>
        <w:rPr>
          <w:rFonts w:ascii="Garamond" w:eastAsia="Garamond" w:hAnsi="Garamond" w:cs="Garamond"/>
          <w:sz w:val="20"/>
          <w:szCs w:val="20"/>
        </w:rPr>
        <w:t xml:space="preserve"> </w:t>
      </w:r>
      <w:r w:rsidR="0066152D" w:rsidRPr="00DA283D">
        <w:rPr>
          <w:rFonts w:ascii="Garamond" w:eastAsia="Garamond" w:hAnsi="Garamond" w:cs="Garamond"/>
          <w:i/>
          <w:sz w:val="20"/>
          <w:szCs w:val="20"/>
        </w:rPr>
        <w:t>una parte integrante della gestione;</w:t>
      </w:r>
    </w:p>
    <w:p w14:paraId="20EC8DAC" w14:textId="7A4B3415" w:rsidR="0066152D" w:rsidRPr="00DA283D" w:rsidRDefault="00DA283D" w:rsidP="00DA283D">
      <w:pPr>
        <w:spacing w:after="0" w:line="240" w:lineRule="auto"/>
        <w:ind w:right="159"/>
        <w:jc w:val="both"/>
        <w:rPr>
          <w:rFonts w:ascii="Garamond" w:eastAsia="Garamond" w:hAnsi="Garamond" w:cs="Garamond"/>
          <w:i/>
          <w:sz w:val="20"/>
          <w:szCs w:val="20"/>
        </w:rPr>
      </w:pPr>
      <w:r w:rsidRPr="00DA283D">
        <w:rPr>
          <w:rFonts w:ascii="Garamond" w:eastAsia="Garamond" w:hAnsi="Garamond" w:cs="Garamond"/>
          <w:i/>
          <w:sz w:val="20"/>
          <w:szCs w:val="20"/>
        </w:rPr>
        <w:t xml:space="preserve">- </w:t>
      </w:r>
      <w:r w:rsidR="0066152D" w:rsidRPr="00DA283D">
        <w:rPr>
          <w:rFonts w:ascii="Garamond" w:eastAsia="Garamond" w:hAnsi="Garamond" w:cs="Garamond"/>
          <w:i/>
          <w:sz w:val="20"/>
          <w:szCs w:val="20"/>
        </w:rPr>
        <w:t xml:space="preserve">incorporato nella cultura e nelle prassi di </w:t>
      </w:r>
      <w:r w:rsidR="00017FD6">
        <w:rPr>
          <w:rFonts w:ascii="Garamond" w:hAnsi="Garamond"/>
          <w:b/>
        </w:rPr>
        <w:t>ASP</w:t>
      </w:r>
      <w:r w:rsidR="0066152D" w:rsidRPr="00DA283D">
        <w:rPr>
          <w:rFonts w:ascii="Garamond" w:eastAsia="Garamond" w:hAnsi="Garamond" w:cs="Garamond"/>
          <w:i/>
          <w:sz w:val="20"/>
          <w:szCs w:val="20"/>
        </w:rPr>
        <w:t>;</w:t>
      </w:r>
    </w:p>
    <w:p w14:paraId="2E03D3A1" w14:textId="591F6FBD" w:rsidR="0066152D" w:rsidRPr="00DA283D" w:rsidRDefault="00DA283D" w:rsidP="00DA283D">
      <w:pPr>
        <w:spacing w:after="0" w:line="240" w:lineRule="auto"/>
        <w:ind w:right="159"/>
        <w:jc w:val="both"/>
        <w:rPr>
          <w:rFonts w:ascii="Garamond" w:eastAsia="Garamond" w:hAnsi="Garamond" w:cs="Garamond"/>
          <w:i/>
          <w:sz w:val="20"/>
          <w:szCs w:val="20"/>
        </w:rPr>
      </w:pPr>
      <w:r w:rsidRPr="00DA283D">
        <w:rPr>
          <w:rFonts w:ascii="Garamond" w:eastAsia="Garamond" w:hAnsi="Garamond" w:cs="Garamond"/>
          <w:i/>
          <w:sz w:val="20"/>
          <w:szCs w:val="20"/>
        </w:rPr>
        <w:t xml:space="preserve">- </w:t>
      </w:r>
      <w:r w:rsidR="0066152D" w:rsidRPr="00DA283D">
        <w:rPr>
          <w:rFonts w:ascii="Garamond" w:eastAsia="Garamond" w:hAnsi="Garamond" w:cs="Garamond"/>
          <w:i/>
          <w:sz w:val="20"/>
          <w:szCs w:val="20"/>
        </w:rPr>
        <w:t>adattato ai processi specifici dell’Organizzazione.</w:t>
      </w:r>
    </w:p>
    <w:p w14:paraId="5552065A" w14:textId="288869B3" w:rsidR="0066152D" w:rsidRPr="00DA283D" w:rsidRDefault="00017FD6" w:rsidP="00DA283D">
      <w:pPr>
        <w:pStyle w:val="Paragrafoelenco"/>
        <w:spacing w:after="0" w:line="240" w:lineRule="auto"/>
        <w:ind w:left="0" w:right="159"/>
        <w:jc w:val="both"/>
        <w:rPr>
          <w:rFonts w:ascii="Garamond" w:eastAsia="Garamond" w:hAnsi="Garamond" w:cs="Garamond"/>
          <w:sz w:val="20"/>
          <w:szCs w:val="20"/>
        </w:rPr>
      </w:pPr>
      <w:r>
        <w:rPr>
          <w:rFonts w:ascii="Garamond" w:hAnsi="Garamond"/>
          <w:b/>
        </w:rPr>
        <w:t>ASP</w:t>
      </w:r>
      <w:r w:rsidR="009E526D" w:rsidRPr="00DA283D">
        <w:rPr>
          <w:rFonts w:ascii="Garamond" w:hAnsi="Garamond"/>
        </w:rPr>
        <w:t xml:space="preserve"> </w:t>
      </w:r>
      <w:r w:rsidR="0066152D" w:rsidRPr="00DA283D">
        <w:rPr>
          <w:rFonts w:ascii="Garamond" w:eastAsia="Garamond" w:hAnsi="Garamond" w:cs="Garamond"/>
          <w:sz w:val="20"/>
          <w:szCs w:val="20"/>
        </w:rPr>
        <w:t xml:space="preserve">garantisce le risorse umane per il raggiungimento di risultanze attendibili. </w:t>
      </w:r>
    </w:p>
    <w:p w14:paraId="546032F4" w14:textId="0D51F267" w:rsidR="0066152D" w:rsidRPr="00DA283D" w:rsidRDefault="0066152D" w:rsidP="00DA283D">
      <w:pPr>
        <w:pStyle w:val="Titolo2"/>
        <w:spacing w:before="120" w:after="120" w:line="240" w:lineRule="auto"/>
        <w:rPr>
          <w:rFonts w:ascii="Garamond" w:hAnsi="Garamond"/>
          <w:bCs w:val="0"/>
          <w:color w:val="00B0F0"/>
          <w:sz w:val="20"/>
          <w:szCs w:val="20"/>
          <w:lang w:eastAsia="it-IT"/>
        </w:rPr>
      </w:pPr>
      <w:bookmarkStart w:id="14" w:name="_Toc875891"/>
      <w:r w:rsidRPr="00DA283D">
        <w:rPr>
          <w:rFonts w:ascii="Garamond" w:hAnsi="Garamond"/>
          <w:bCs w:val="0"/>
          <w:color w:val="00B0F0"/>
          <w:sz w:val="20"/>
          <w:szCs w:val="20"/>
          <w:lang w:eastAsia="it-IT"/>
        </w:rPr>
        <w:t>6.1 Comunicazione e consultazione</w:t>
      </w:r>
      <w:bookmarkEnd w:id="14"/>
    </w:p>
    <w:p w14:paraId="7125A817"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La comunicazione e la consultazione con gli stakeholders deve aver luogo durante tutte le fasi del processo di gestione del rischio. </w:t>
      </w:r>
    </w:p>
    <w:p w14:paraId="1BCD1750" w14:textId="0401B8DB"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lastRenderedPageBreak/>
        <w:t>Preliminarmente il Responsabile identifica le parti interessate alle quali comunicare lo stato dei lavori e/o dalle quali ricevere indicazioni sui contenuti.</w:t>
      </w:r>
    </w:p>
    <w:p w14:paraId="511D4AD3" w14:textId="38945EF8" w:rsidR="0066152D" w:rsidRPr="00DA283D" w:rsidRDefault="0066152D" w:rsidP="00DA283D">
      <w:pPr>
        <w:pStyle w:val="Titolo2"/>
        <w:spacing w:before="120" w:after="120" w:line="240" w:lineRule="auto"/>
        <w:rPr>
          <w:rFonts w:ascii="Garamond" w:hAnsi="Garamond"/>
          <w:bCs w:val="0"/>
          <w:color w:val="00B0F0"/>
          <w:sz w:val="20"/>
          <w:szCs w:val="20"/>
          <w:lang w:eastAsia="it-IT"/>
        </w:rPr>
      </w:pPr>
      <w:bookmarkStart w:id="15" w:name="_Toc875892"/>
      <w:r w:rsidRPr="00DA283D">
        <w:rPr>
          <w:rFonts w:ascii="Garamond" w:hAnsi="Garamond"/>
          <w:bCs w:val="0"/>
          <w:color w:val="00B0F0"/>
          <w:sz w:val="20"/>
          <w:szCs w:val="20"/>
          <w:lang w:eastAsia="it-IT"/>
        </w:rPr>
        <w:t>6.2 Definizione del contesto</w:t>
      </w:r>
      <w:bookmarkEnd w:id="15"/>
    </w:p>
    <w:p w14:paraId="2F0C1567" w14:textId="35B5E9E2"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Nel definire il contesto, </w:t>
      </w:r>
      <w:r w:rsidR="00017FD6">
        <w:rPr>
          <w:rFonts w:ascii="Garamond" w:hAnsi="Garamond"/>
          <w:b/>
        </w:rPr>
        <w:t>ASP</w:t>
      </w:r>
      <w:r w:rsidR="00017FD6" w:rsidRPr="00DA283D">
        <w:rPr>
          <w:rFonts w:ascii="Garamond" w:eastAsia="Garamond" w:hAnsi="Garamond" w:cs="Garamond"/>
          <w:sz w:val="20"/>
          <w:szCs w:val="20"/>
        </w:rPr>
        <w:t xml:space="preserve"> </w:t>
      </w:r>
      <w:r w:rsidRPr="00DA283D">
        <w:rPr>
          <w:rFonts w:ascii="Garamond" w:eastAsia="Garamond" w:hAnsi="Garamond" w:cs="Garamond"/>
          <w:sz w:val="20"/>
          <w:szCs w:val="20"/>
        </w:rPr>
        <w:t>articola i propri obiettivi, identifica i parametri esterni ed interni da tenere in considerazione quando si gestisce il rischio, e stabilisce il campo di applicazione ed i criteri di rischio per il resto del processo.</w:t>
      </w:r>
    </w:p>
    <w:p w14:paraId="72D07507" w14:textId="45EFCDBC" w:rsidR="0066152D" w:rsidRPr="00DA283D" w:rsidRDefault="0066152D" w:rsidP="00DA283D">
      <w:pPr>
        <w:pStyle w:val="Titolo2"/>
        <w:spacing w:before="120" w:after="120" w:line="240" w:lineRule="auto"/>
        <w:rPr>
          <w:rFonts w:ascii="Garamond" w:hAnsi="Garamond"/>
          <w:bCs w:val="0"/>
          <w:color w:val="00B0F0"/>
          <w:sz w:val="20"/>
          <w:szCs w:val="20"/>
          <w:lang w:eastAsia="it-IT"/>
        </w:rPr>
      </w:pPr>
      <w:bookmarkStart w:id="16" w:name="_Toc875893"/>
      <w:r w:rsidRPr="00DA283D">
        <w:rPr>
          <w:rFonts w:ascii="Garamond" w:hAnsi="Garamond"/>
          <w:bCs w:val="0"/>
          <w:color w:val="00B0F0"/>
          <w:sz w:val="20"/>
          <w:szCs w:val="20"/>
          <w:lang w:eastAsia="it-IT"/>
        </w:rPr>
        <w:t>6.3 Valutazione del rischio</w:t>
      </w:r>
      <w:bookmarkEnd w:id="16"/>
    </w:p>
    <w:p w14:paraId="369DF339"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La valutazione del rischio è il processo complessivo di identificazione, analisi e ponderazione del rischio. L'attività di compone di sotto-fasi, ed in particolare:</w:t>
      </w:r>
    </w:p>
    <w:p w14:paraId="6B9F9AB7" w14:textId="602D8687" w:rsidR="0066152D" w:rsidRPr="00DA283D" w:rsidRDefault="0066152D" w:rsidP="00DA283D">
      <w:pPr>
        <w:spacing w:after="0" w:line="240" w:lineRule="auto"/>
        <w:ind w:right="159"/>
        <w:jc w:val="both"/>
        <w:rPr>
          <w:rFonts w:ascii="Garamond" w:eastAsia="Garamond" w:hAnsi="Garamond" w:cs="Garamond"/>
          <w:b/>
          <w:color w:val="00263E"/>
          <w:sz w:val="20"/>
          <w:szCs w:val="20"/>
        </w:rPr>
      </w:pPr>
      <w:r w:rsidRPr="00DA283D">
        <w:rPr>
          <w:rFonts w:ascii="Garamond" w:eastAsia="Garamond" w:hAnsi="Garamond" w:cs="Garamond"/>
          <w:b/>
          <w:color w:val="00263E"/>
          <w:sz w:val="20"/>
          <w:szCs w:val="20"/>
        </w:rPr>
        <w:t>Identificazione del rischio</w:t>
      </w:r>
    </w:p>
    <w:p w14:paraId="64FF5F94"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Fase di identificazione delle fonti di rischio, delle aree di impatto, degli eventi (comprese le modifiche nelle circostanze), delle cause e delle potenziali conseguenze di questi ultimi. L’obiettivo di tale fase è quello di generare un elenco completo dei rischi basato su quegli eventi che possono creare, incrementare, prevenire, degradare, accelerare o ritardare il raggiungimento degli obiettivi.</w:t>
      </w:r>
    </w:p>
    <w:p w14:paraId="3402AFC5"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Il processo di identificazione include i rischi la cui fonte sia sotto il controllo dell’Organizzazione o meno, anche se la fonte o causa di rischio può non essere manifesta.</w:t>
      </w:r>
    </w:p>
    <w:p w14:paraId="661DEDD5" w14:textId="48F3C490" w:rsidR="0066152D" w:rsidRPr="00DA283D" w:rsidRDefault="00017FD6" w:rsidP="00DA283D">
      <w:pPr>
        <w:spacing w:after="0" w:line="240" w:lineRule="auto"/>
        <w:ind w:right="159"/>
        <w:jc w:val="both"/>
        <w:rPr>
          <w:rFonts w:ascii="Garamond" w:eastAsia="Garamond" w:hAnsi="Garamond" w:cs="Garamond"/>
          <w:sz w:val="20"/>
          <w:szCs w:val="20"/>
        </w:rPr>
      </w:pPr>
      <w:r>
        <w:rPr>
          <w:rFonts w:ascii="Garamond" w:hAnsi="Garamond"/>
          <w:b/>
        </w:rPr>
        <w:t>ASP</w:t>
      </w:r>
      <w:r w:rsidRPr="00DA283D">
        <w:rPr>
          <w:rFonts w:ascii="Garamond" w:eastAsia="Garamond" w:hAnsi="Garamond" w:cs="Garamond"/>
          <w:sz w:val="20"/>
          <w:szCs w:val="20"/>
        </w:rPr>
        <w:t xml:space="preserve"> </w:t>
      </w:r>
      <w:r w:rsidR="0066152D" w:rsidRPr="00DA283D">
        <w:rPr>
          <w:rFonts w:ascii="Garamond" w:eastAsia="Garamond" w:hAnsi="Garamond" w:cs="Garamond"/>
          <w:sz w:val="20"/>
          <w:szCs w:val="20"/>
        </w:rPr>
        <w:t>applica quale strumento di identificazione dei rischi la metodologia di Brainstorming di cui all'annex B.1</w:t>
      </w:r>
      <w:r w:rsidR="00F06023" w:rsidRPr="00DA283D">
        <w:rPr>
          <w:rFonts w:ascii="Garamond" w:eastAsia="Garamond" w:hAnsi="Garamond" w:cs="Garamond"/>
          <w:sz w:val="20"/>
          <w:szCs w:val="20"/>
        </w:rPr>
        <w:t xml:space="preserve"> della norma IEC 31010 ed. 2010</w:t>
      </w:r>
      <w:r w:rsidR="0066152D" w:rsidRPr="00DA283D">
        <w:rPr>
          <w:rFonts w:ascii="Garamond" w:eastAsia="Garamond" w:hAnsi="Garamond" w:cs="Garamond"/>
          <w:sz w:val="20"/>
          <w:szCs w:val="20"/>
        </w:rPr>
        <w:t xml:space="preserve">. </w:t>
      </w:r>
    </w:p>
    <w:p w14:paraId="1427B921" w14:textId="664515AC" w:rsidR="00DA283D" w:rsidRPr="00DA283D" w:rsidRDefault="0066152D"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sz w:val="20"/>
          <w:szCs w:val="20"/>
        </w:rPr>
        <w:t xml:space="preserve">Le risultanze della fase sono riportate </w:t>
      </w:r>
      <w:r w:rsidR="00DA283D">
        <w:rPr>
          <w:rFonts w:ascii="Garamond" w:eastAsia="Garamond" w:hAnsi="Garamond" w:cs="Garamond"/>
          <w:sz w:val="20"/>
          <w:szCs w:val="20"/>
        </w:rPr>
        <w:t>nell’</w:t>
      </w:r>
      <w:r w:rsidR="00DA283D" w:rsidRPr="00DA283D">
        <w:rPr>
          <w:rFonts w:ascii="Garamond" w:eastAsia="Garamond" w:hAnsi="Garamond" w:cs="Garamond"/>
          <w:b/>
          <w:sz w:val="20"/>
          <w:szCs w:val="20"/>
        </w:rPr>
        <w:t>Allegato 4bis del MOG.</w:t>
      </w:r>
    </w:p>
    <w:p w14:paraId="1CAD1B44" w14:textId="449949F6" w:rsidR="0066152D" w:rsidRPr="00DA283D" w:rsidRDefault="0066152D" w:rsidP="00DA283D">
      <w:pPr>
        <w:spacing w:before="120" w:after="120" w:line="240" w:lineRule="auto"/>
        <w:ind w:right="159"/>
        <w:jc w:val="both"/>
        <w:rPr>
          <w:rFonts w:ascii="Garamond" w:eastAsia="Garamond" w:hAnsi="Garamond" w:cs="Garamond"/>
          <w:b/>
          <w:color w:val="00B0F0"/>
          <w:sz w:val="20"/>
          <w:szCs w:val="20"/>
        </w:rPr>
      </w:pPr>
      <w:r w:rsidRPr="00DA283D">
        <w:rPr>
          <w:rFonts w:ascii="Garamond" w:eastAsia="Garamond" w:hAnsi="Garamond" w:cs="Garamond"/>
          <w:b/>
          <w:color w:val="00B0F0"/>
          <w:sz w:val="20"/>
          <w:szCs w:val="20"/>
        </w:rPr>
        <w:t>Analisi del rischio</w:t>
      </w:r>
    </w:p>
    <w:p w14:paraId="37FBBC19"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Fase che fornisce i dati in ingresso alla ponderazione del rischio e alle decisioni circa la necessità o meno di trattamento del rischio, nonché riguardo le strategie ed i metodi di trattamento più appropriati.</w:t>
      </w:r>
    </w:p>
    <w:p w14:paraId="4F6BCDFE"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L’analisi del rischio fornisce dei dati in ingresso al processo decisionale, dove devono essere effettuate delle scelte e le opzioni disponibili comportano differenti tipi e livelli di rischio.</w:t>
      </w:r>
    </w:p>
    <w:p w14:paraId="75CA6AFA"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Le conseguenze e la loro verosimiglianza possono essere determinate mediante la modellazione degli esiti di un evento o di un insieme di eventi, o attraverso una estrapolazione da studi sperimentali o dai dati disponibili. Le conseguenze possono essere espresse in termini di impatti tangibili e intangibili.</w:t>
      </w:r>
    </w:p>
    <w:p w14:paraId="7176F3A0" w14:textId="0424040B"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L’Organizzazione (in particolare il Team di valutazione), applica quale strumento di analisi dei rischi la metodologia 'consequence/probability matrix' di cui all'annex B.29 della norma IEC 31010 ed. 2010. </w:t>
      </w:r>
    </w:p>
    <w:p w14:paraId="7B6D363C" w14:textId="6D04E0C3"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Le risultanze della fase sono riportate </w:t>
      </w:r>
      <w:r w:rsidR="00DA283D">
        <w:rPr>
          <w:rFonts w:ascii="Garamond" w:eastAsia="Garamond" w:hAnsi="Garamond" w:cs="Garamond"/>
          <w:sz w:val="20"/>
          <w:szCs w:val="20"/>
        </w:rPr>
        <w:t>nell’</w:t>
      </w:r>
      <w:r w:rsidR="00DA283D" w:rsidRPr="00DA283D">
        <w:rPr>
          <w:rFonts w:ascii="Garamond" w:eastAsia="Garamond" w:hAnsi="Garamond" w:cs="Garamond"/>
          <w:b/>
          <w:sz w:val="20"/>
          <w:szCs w:val="20"/>
        </w:rPr>
        <w:t>Allegato 4bis del MOG.</w:t>
      </w:r>
    </w:p>
    <w:p w14:paraId="08D183F5" w14:textId="77777777" w:rsidR="0066152D" w:rsidRPr="00DA283D" w:rsidRDefault="0066152D" w:rsidP="00DA283D">
      <w:pPr>
        <w:spacing w:after="0" w:line="240" w:lineRule="auto"/>
        <w:ind w:right="159"/>
        <w:jc w:val="both"/>
        <w:rPr>
          <w:rFonts w:ascii="Garamond" w:eastAsia="Garamond" w:hAnsi="Garamond" w:cs="Garamond"/>
          <w:b/>
          <w:color w:val="00B0F0"/>
          <w:sz w:val="20"/>
          <w:szCs w:val="20"/>
        </w:rPr>
      </w:pPr>
      <w:r w:rsidRPr="00DA283D">
        <w:rPr>
          <w:rFonts w:ascii="Garamond" w:eastAsia="Garamond" w:hAnsi="Garamond" w:cs="Garamond"/>
          <w:b/>
          <w:color w:val="00B0F0"/>
          <w:sz w:val="20"/>
          <w:szCs w:val="20"/>
        </w:rPr>
        <w:t>Ponderazione del rischio</w:t>
      </w:r>
    </w:p>
    <w:p w14:paraId="68C00DFE"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L’obiettivo della ponderazione del rischio è di agevolare, sulla base degli esiti dell’analisi del rischio, i processi decisionali riguardo a quali rischi necessitano un trattamento e le relative priorità di attuazione.</w:t>
      </w:r>
    </w:p>
    <w:p w14:paraId="2AE5A7C2" w14:textId="77777777"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La ponderazione del rischio implica il confronto tra il livello di rischio trovato durante il processo di analisi ed i criteri di rischio stabiliti durante l’esame del contesto. La necessità di trattamento può essere considerata sulla base di questo confronto. Le decisioni devono, in ogni caso, essere prese nel rispetto dei requisiti normativi cogenti.</w:t>
      </w:r>
    </w:p>
    <w:p w14:paraId="47619930" w14:textId="3D23F015"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In alcune circostanze, la ponderazione del rischio può portare ad una decisione d’intraprendere ulteriori analisi. La ponderazione del rischio può anche portare ad una decisione di non sottoporre ad ulteriore trattamento il rischio, ma limitarsi a mantenere attivi i controlli esistenti. </w:t>
      </w:r>
    </w:p>
    <w:p w14:paraId="063EACDE" w14:textId="7FCCE2B3" w:rsidR="0066152D" w:rsidRPr="00DA283D" w:rsidRDefault="0066152D"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Questa decisione è influenzata dalla propensione al rischio dell’organizzazione e dai criteri di rischio stabiliti. L’organizzazione applica quale strumento di ponderazione dei rischi la metodologia 'consequence/probability matrix' di cui all'annex B.29 della norma IEC 31010 ed. 2010. </w:t>
      </w:r>
    </w:p>
    <w:p w14:paraId="13728620" w14:textId="2464E16E" w:rsidR="000B1B44" w:rsidRPr="00DA283D" w:rsidRDefault="000B1B44"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sz w:val="20"/>
          <w:szCs w:val="20"/>
        </w:rPr>
        <w:t xml:space="preserve">Per effettuare le suddette attività, è stato predisposto un apposito modello di analisi e valutazione, la cui descrizione e le informazioni di uso sono contenute nella Istruzione Operativa </w:t>
      </w:r>
      <w:r w:rsidR="00DA283D" w:rsidRPr="00DA283D">
        <w:rPr>
          <w:rFonts w:ascii="Garamond" w:eastAsia="Garamond" w:hAnsi="Garamond" w:cs="Garamond"/>
          <w:b/>
          <w:sz w:val="20"/>
          <w:szCs w:val="20"/>
        </w:rPr>
        <w:t>Allegato 4TER</w:t>
      </w:r>
      <w:r w:rsidRPr="00DA283D">
        <w:rPr>
          <w:rFonts w:ascii="Garamond" w:eastAsia="Garamond" w:hAnsi="Garamond" w:cs="Garamond"/>
          <w:b/>
          <w:sz w:val="20"/>
          <w:szCs w:val="20"/>
        </w:rPr>
        <w:t>.</w:t>
      </w:r>
      <w:r w:rsidRPr="00DA283D">
        <w:rPr>
          <w:rFonts w:ascii="Garamond" w:eastAsia="Garamond" w:hAnsi="Garamond" w:cs="Garamond"/>
          <w:sz w:val="20"/>
          <w:szCs w:val="20"/>
        </w:rPr>
        <w:t xml:space="preserve"> Alla istruzione è allegata la cartella di lavoro </w:t>
      </w:r>
      <w:r w:rsidR="00DA283D">
        <w:rPr>
          <w:rFonts w:ascii="Garamond" w:eastAsia="Garamond" w:hAnsi="Garamond" w:cs="Garamond"/>
          <w:sz w:val="20"/>
          <w:szCs w:val="20"/>
        </w:rPr>
        <w:t>di cui all’</w:t>
      </w:r>
      <w:r w:rsidR="00DA283D" w:rsidRPr="00DA283D">
        <w:rPr>
          <w:rFonts w:ascii="Garamond" w:eastAsia="Garamond" w:hAnsi="Garamond" w:cs="Garamond"/>
          <w:b/>
          <w:sz w:val="20"/>
          <w:szCs w:val="20"/>
        </w:rPr>
        <w:t>Allegato</w:t>
      </w:r>
      <w:r w:rsidR="00DA283D">
        <w:rPr>
          <w:rFonts w:ascii="Garamond" w:eastAsia="Garamond" w:hAnsi="Garamond" w:cs="Garamond"/>
          <w:sz w:val="20"/>
          <w:szCs w:val="20"/>
        </w:rPr>
        <w:t xml:space="preserve"> </w:t>
      </w:r>
      <w:r w:rsidR="00DA283D" w:rsidRPr="00DA283D">
        <w:rPr>
          <w:rFonts w:ascii="Garamond" w:eastAsia="Garamond" w:hAnsi="Garamond" w:cs="Garamond"/>
          <w:b/>
          <w:sz w:val="20"/>
          <w:szCs w:val="20"/>
        </w:rPr>
        <w:t>4 del MOG</w:t>
      </w:r>
    </w:p>
    <w:p w14:paraId="18C0D4E7" w14:textId="013E7B6D" w:rsidR="005A3B01" w:rsidRPr="00DA283D" w:rsidRDefault="005A3B01" w:rsidP="00DA283D">
      <w:pPr>
        <w:pStyle w:val="Titolo2"/>
        <w:spacing w:before="120" w:after="120" w:line="240" w:lineRule="auto"/>
        <w:rPr>
          <w:rFonts w:ascii="Garamond" w:hAnsi="Garamond"/>
          <w:bCs w:val="0"/>
          <w:color w:val="00B0F0"/>
          <w:sz w:val="22"/>
          <w:szCs w:val="22"/>
          <w:lang w:eastAsia="it-IT"/>
        </w:rPr>
      </w:pPr>
      <w:bookmarkStart w:id="17" w:name="_Toc875894"/>
      <w:r w:rsidRPr="00DA283D">
        <w:rPr>
          <w:rFonts w:ascii="Garamond" w:hAnsi="Garamond"/>
          <w:bCs w:val="0"/>
          <w:color w:val="00B0F0"/>
          <w:sz w:val="22"/>
          <w:szCs w:val="22"/>
          <w:lang w:eastAsia="it-IT"/>
        </w:rPr>
        <w:t>6.4 Trattamento del rischio</w:t>
      </w:r>
      <w:bookmarkEnd w:id="17"/>
    </w:p>
    <w:p w14:paraId="1DB26950" w14:textId="77777777"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Il trattamento del rischio implica la selezione di una o più opzioni per modificare i rischi e l’attuazione di tali opzioni.</w:t>
      </w:r>
    </w:p>
    <w:p w14:paraId="607ED310" w14:textId="0BB2A380"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La scelta dell’opzione di trattamento del rischio più appropriata implica il bilanciamento dei costi e degli sforzi di attuazione a fronte dei benefici derivanti, tenendo conto dei requisiti cogenti e di altra natura, come la responsabilità </w:t>
      </w:r>
      <w:r w:rsidRPr="00DA283D">
        <w:rPr>
          <w:rFonts w:ascii="Garamond" w:eastAsia="Garamond" w:hAnsi="Garamond" w:cs="Garamond"/>
          <w:sz w:val="20"/>
          <w:szCs w:val="20"/>
        </w:rPr>
        <w:lastRenderedPageBreak/>
        <w:t>sociale e la protezione dell’ambiente. Le decisioni devono tenere conto dei rischi che comportano un trattamento non giustificabile dal punto di vista economico, per esempio rischi severi (elevate conseguenze negative) ma rari (bassa probabilità).</w:t>
      </w:r>
    </w:p>
    <w:p w14:paraId="09F371D6" w14:textId="0299EACD"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 xml:space="preserve">L'approccio di </w:t>
      </w:r>
      <w:r w:rsidR="00017FD6">
        <w:rPr>
          <w:rFonts w:ascii="Garamond" w:hAnsi="Garamond"/>
          <w:b/>
        </w:rPr>
        <w:t>ASP</w:t>
      </w:r>
      <w:r w:rsidR="00017FD6" w:rsidRPr="00DA283D">
        <w:rPr>
          <w:rFonts w:ascii="Garamond" w:eastAsia="Garamond" w:hAnsi="Garamond" w:cs="Garamond"/>
          <w:sz w:val="20"/>
          <w:szCs w:val="20"/>
        </w:rPr>
        <w:t xml:space="preserve"> </w:t>
      </w:r>
      <w:r w:rsidRPr="00DA283D">
        <w:rPr>
          <w:rFonts w:ascii="Garamond" w:eastAsia="Garamond" w:hAnsi="Garamond" w:cs="Garamond"/>
          <w:sz w:val="20"/>
          <w:szCs w:val="20"/>
        </w:rPr>
        <w:t>al trattamento del rischio, in ogni caso, può essere:</w:t>
      </w:r>
    </w:p>
    <w:p w14:paraId="7B4F672F" w14:textId="363BED94" w:rsidR="005A3B01" w:rsidRPr="00DA283D" w:rsidRDefault="00DA283D"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b/>
          <w:sz w:val="20"/>
          <w:szCs w:val="20"/>
        </w:rPr>
        <w:t xml:space="preserve">- </w:t>
      </w:r>
      <w:r w:rsidR="005A3B01" w:rsidRPr="00DA283D">
        <w:rPr>
          <w:rFonts w:ascii="Garamond" w:eastAsia="Garamond" w:hAnsi="Garamond" w:cs="Garamond"/>
          <w:b/>
          <w:sz w:val="20"/>
          <w:szCs w:val="20"/>
        </w:rPr>
        <w:t>(T) TRASFERIRE IL RISCHIO</w:t>
      </w:r>
    </w:p>
    <w:p w14:paraId="30365DDA" w14:textId="77777777"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Condividere il rischio con qualcun altro (tutela contrattuale, finanziaria, legale)</w:t>
      </w:r>
    </w:p>
    <w:p w14:paraId="1A3ADD23" w14:textId="420D02BD" w:rsidR="005A3B01" w:rsidRPr="00DA283D" w:rsidRDefault="00DA283D"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b/>
          <w:sz w:val="20"/>
          <w:szCs w:val="20"/>
        </w:rPr>
        <w:t xml:space="preserve">- </w:t>
      </w:r>
      <w:r w:rsidR="005A3B01" w:rsidRPr="00DA283D">
        <w:rPr>
          <w:rFonts w:ascii="Garamond" w:eastAsia="Garamond" w:hAnsi="Garamond" w:cs="Garamond"/>
          <w:b/>
          <w:sz w:val="20"/>
          <w:szCs w:val="20"/>
        </w:rPr>
        <w:t>(E) EVITARE IL RISCHIO</w:t>
      </w:r>
    </w:p>
    <w:p w14:paraId="5F424AC6" w14:textId="77777777"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Decidere di non eseguire più determinate attività affinché la probabilità di rischio e la relativa conseguenza sia completamente abbattuta</w:t>
      </w:r>
    </w:p>
    <w:p w14:paraId="3E4D3C9B" w14:textId="13E6F33C" w:rsidR="005A3B01" w:rsidRPr="00DA283D" w:rsidRDefault="00DA283D"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b/>
          <w:sz w:val="20"/>
          <w:szCs w:val="20"/>
        </w:rPr>
        <w:t xml:space="preserve">- </w:t>
      </w:r>
      <w:r w:rsidR="005A3B01" w:rsidRPr="00DA283D">
        <w:rPr>
          <w:rFonts w:ascii="Garamond" w:eastAsia="Garamond" w:hAnsi="Garamond" w:cs="Garamond"/>
          <w:b/>
          <w:sz w:val="20"/>
          <w:szCs w:val="20"/>
        </w:rPr>
        <w:t>(M) MITIGARE IL RISCHIO</w:t>
      </w:r>
    </w:p>
    <w:p w14:paraId="341AD5BC" w14:textId="77777777"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Piano di intervento operativo per ridurre il grado di rischio</w:t>
      </w:r>
    </w:p>
    <w:p w14:paraId="308919E9" w14:textId="017F2FB8" w:rsidR="005A3B01" w:rsidRPr="00DA283D" w:rsidRDefault="00DA283D"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b/>
          <w:sz w:val="20"/>
          <w:szCs w:val="20"/>
        </w:rPr>
        <w:t xml:space="preserve">- </w:t>
      </w:r>
      <w:r w:rsidR="005A3B01" w:rsidRPr="00DA283D">
        <w:rPr>
          <w:rFonts w:ascii="Garamond" w:eastAsia="Garamond" w:hAnsi="Garamond" w:cs="Garamond"/>
          <w:b/>
          <w:sz w:val="20"/>
          <w:szCs w:val="20"/>
        </w:rPr>
        <w:t>(A) ACCETTARE IL RISCHIO</w:t>
      </w:r>
    </w:p>
    <w:p w14:paraId="16B3C029" w14:textId="77777777" w:rsidR="005A3B01" w:rsidRPr="00DA283D" w:rsidRDefault="005A3B01" w:rsidP="00DA283D">
      <w:pPr>
        <w:spacing w:after="0" w:line="240" w:lineRule="auto"/>
        <w:ind w:right="159"/>
        <w:jc w:val="both"/>
        <w:rPr>
          <w:rFonts w:ascii="Garamond" w:eastAsia="Garamond" w:hAnsi="Garamond" w:cs="Garamond"/>
          <w:sz w:val="20"/>
          <w:szCs w:val="20"/>
        </w:rPr>
      </w:pPr>
      <w:r w:rsidRPr="00DA283D">
        <w:rPr>
          <w:rFonts w:ascii="Garamond" w:eastAsia="Garamond" w:hAnsi="Garamond" w:cs="Garamond"/>
          <w:sz w:val="20"/>
          <w:szCs w:val="20"/>
        </w:rPr>
        <w:t>Accettare i rischi con la consapevolezza delle tangibili conseguenze a cui si potrebbe andare incontro. Pianificare azione di recupero.</w:t>
      </w:r>
    </w:p>
    <w:p w14:paraId="451E0A67" w14:textId="101F69A9" w:rsidR="00DA283D" w:rsidRPr="00DA283D" w:rsidRDefault="005A3B01" w:rsidP="00DA283D">
      <w:pPr>
        <w:spacing w:after="0" w:line="240" w:lineRule="auto"/>
        <w:ind w:right="159"/>
        <w:jc w:val="both"/>
        <w:rPr>
          <w:rFonts w:ascii="Garamond" w:eastAsia="Garamond" w:hAnsi="Garamond" w:cs="Garamond"/>
          <w:b/>
          <w:sz w:val="20"/>
          <w:szCs w:val="20"/>
        </w:rPr>
      </w:pPr>
      <w:r w:rsidRPr="00DA283D">
        <w:rPr>
          <w:rFonts w:ascii="Garamond" w:eastAsia="Garamond" w:hAnsi="Garamond" w:cs="Garamond"/>
          <w:sz w:val="20"/>
          <w:szCs w:val="20"/>
        </w:rPr>
        <w:t xml:space="preserve">Le risultanze della fase sono riportate sul modulo </w:t>
      </w:r>
      <w:r w:rsidR="00DA283D" w:rsidRPr="00DA283D">
        <w:rPr>
          <w:rFonts w:ascii="Garamond" w:eastAsia="Garamond" w:hAnsi="Garamond" w:cs="Garamond"/>
          <w:b/>
          <w:sz w:val="20"/>
          <w:szCs w:val="20"/>
        </w:rPr>
        <w:t>Allegato 4bis del MOG.</w:t>
      </w:r>
    </w:p>
    <w:p w14:paraId="1B5AB0C5" w14:textId="0756683C" w:rsidR="0066152D" w:rsidRPr="00DA283D" w:rsidRDefault="00DA283D" w:rsidP="00DA283D">
      <w:pPr>
        <w:spacing w:after="0" w:line="240" w:lineRule="auto"/>
        <w:ind w:right="159"/>
        <w:jc w:val="both"/>
        <w:rPr>
          <w:rFonts w:ascii="Gotham Light" w:eastAsia="Garamond" w:hAnsi="Gotham Light" w:cs="Garamond"/>
          <w:sz w:val="2"/>
          <w:szCs w:val="2"/>
        </w:rPr>
      </w:pPr>
      <w:r w:rsidRPr="005C6628">
        <w:rPr>
          <w:rFonts w:ascii="Gotham Light" w:eastAsia="Garamond" w:hAnsi="Gotham Light" w:cs="Garamond"/>
          <w:sz w:val="20"/>
          <w:szCs w:val="20"/>
        </w:rPr>
        <w:t xml:space="preserve"> </w:t>
      </w:r>
    </w:p>
    <w:p w14:paraId="29352EEF" w14:textId="79469EB3" w:rsidR="005A3B01" w:rsidRPr="00DA283D" w:rsidRDefault="005A3B01" w:rsidP="00E6510F">
      <w:pPr>
        <w:pStyle w:val="Titolo2"/>
        <w:numPr>
          <w:ilvl w:val="1"/>
          <w:numId w:val="5"/>
        </w:numPr>
        <w:spacing w:before="120" w:after="120" w:line="240" w:lineRule="auto"/>
        <w:ind w:left="357" w:hanging="357"/>
        <w:rPr>
          <w:rFonts w:ascii="Garamond" w:hAnsi="Garamond"/>
          <w:bCs w:val="0"/>
          <w:color w:val="00B0F0"/>
          <w:sz w:val="22"/>
          <w:szCs w:val="22"/>
          <w:lang w:eastAsia="it-IT"/>
        </w:rPr>
      </w:pPr>
      <w:bookmarkStart w:id="18" w:name="_Toc875895"/>
      <w:r w:rsidRPr="00DA283D">
        <w:rPr>
          <w:rFonts w:ascii="Garamond" w:hAnsi="Garamond"/>
          <w:bCs w:val="0"/>
          <w:color w:val="00B0F0"/>
          <w:sz w:val="22"/>
          <w:szCs w:val="22"/>
          <w:lang w:eastAsia="it-IT"/>
        </w:rPr>
        <w:t>Trattamento del rischio</w:t>
      </w:r>
      <w:bookmarkEnd w:id="18"/>
    </w:p>
    <w:p w14:paraId="0207D6AF" w14:textId="77777777" w:rsidR="005A3B01" w:rsidRPr="009E526D" w:rsidRDefault="005A3B01" w:rsidP="009F1DAA">
      <w:pPr>
        <w:spacing w:after="0" w:line="240" w:lineRule="auto"/>
        <w:ind w:right="159"/>
        <w:jc w:val="both"/>
        <w:rPr>
          <w:rFonts w:ascii="Garamond" w:eastAsia="Garamond" w:hAnsi="Garamond" w:cs="Garamond"/>
          <w:sz w:val="20"/>
          <w:szCs w:val="20"/>
        </w:rPr>
      </w:pPr>
      <w:r w:rsidRPr="009E526D">
        <w:rPr>
          <w:rFonts w:ascii="Garamond" w:eastAsia="Garamond" w:hAnsi="Garamond" w:cs="Garamond"/>
          <w:sz w:val="20"/>
          <w:szCs w:val="20"/>
        </w:rPr>
        <w:t>Il monitoraggio e il riesame sono pianificati in occasione dell'analisi condotta dal Team di valutazione allo scopo di:</w:t>
      </w:r>
    </w:p>
    <w:p w14:paraId="01C3AB21" w14:textId="3D165DF9" w:rsidR="005A3B01" w:rsidRPr="009E526D" w:rsidRDefault="009E526D" w:rsidP="009E526D">
      <w:pPr>
        <w:spacing w:after="0" w:line="240" w:lineRule="auto"/>
        <w:ind w:right="159"/>
        <w:jc w:val="both"/>
        <w:rPr>
          <w:rFonts w:ascii="Garamond" w:eastAsia="Garamond" w:hAnsi="Garamond" w:cs="Garamond"/>
          <w:i/>
          <w:sz w:val="20"/>
          <w:szCs w:val="20"/>
        </w:rPr>
      </w:pPr>
      <w:r w:rsidRPr="009E526D">
        <w:rPr>
          <w:rFonts w:ascii="Garamond" w:eastAsia="Garamond" w:hAnsi="Garamond" w:cs="Garamond"/>
          <w:sz w:val="20"/>
          <w:szCs w:val="20"/>
        </w:rPr>
        <w:t xml:space="preserve">- </w:t>
      </w:r>
      <w:r w:rsidR="005A3B01" w:rsidRPr="009E526D">
        <w:rPr>
          <w:rFonts w:ascii="Garamond" w:eastAsia="Garamond" w:hAnsi="Garamond" w:cs="Garamond"/>
          <w:i/>
          <w:sz w:val="20"/>
          <w:szCs w:val="20"/>
        </w:rPr>
        <w:t>assicurare che i controlli siano efficaci ed efficienti sia nella progettazione sia nell’operatività;</w:t>
      </w:r>
    </w:p>
    <w:p w14:paraId="4A88C344" w14:textId="1E1FFDCA" w:rsidR="005A3B01" w:rsidRPr="009E526D" w:rsidRDefault="009E526D" w:rsidP="009E526D">
      <w:pPr>
        <w:pStyle w:val="Paragrafoelenco"/>
        <w:spacing w:after="0" w:line="240" w:lineRule="auto"/>
        <w:ind w:left="0" w:right="159"/>
        <w:contextualSpacing w:val="0"/>
        <w:jc w:val="both"/>
        <w:rPr>
          <w:rFonts w:ascii="Garamond" w:eastAsia="Garamond" w:hAnsi="Garamond" w:cs="Garamond"/>
          <w:i/>
          <w:sz w:val="20"/>
          <w:szCs w:val="20"/>
        </w:rPr>
      </w:pPr>
      <w:r w:rsidRPr="009E526D">
        <w:rPr>
          <w:rFonts w:ascii="Garamond" w:eastAsia="Garamond" w:hAnsi="Garamond" w:cs="Garamond"/>
          <w:i/>
          <w:sz w:val="20"/>
          <w:szCs w:val="20"/>
        </w:rPr>
        <w:t xml:space="preserve">- </w:t>
      </w:r>
      <w:r w:rsidR="005A3B01" w:rsidRPr="009E526D">
        <w:rPr>
          <w:rFonts w:ascii="Garamond" w:eastAsia="Garamond" w:hAnsi="Garamond" w:cs="Garamond"/>
          <w:i/>
          <w:sz w:val="20"/>
          <w:szCs w:val="20"/>
        </w:rPr>
        <w:t>ottenere ulteriori informazioni per migliorare la valutazione del rischio;</w:t>
      </w:r>
    </w:p>
    <w:p w14:paraId="7BB7F3F7" w14:textId="4C57EA2D" w:rsidR="005A3B01" w:rsidRPr="009E526D" w:rsidRDefault="009E526D" w:rsidP="009E526D">
      <w:pPr>
        <w:pStyle w:val="Paragrafoelenco"/>
        <w:spacing w:after="0" w:line="240" w:lineRule="auto"/>
        <w:ind w:left="0" w:right="159"/>
        <w:contextualSpacing w:val="0"/>
        <w:jc w:val="both"/>
        <w:rPr>
          <w:rFonts w:ascii="Garamond" w:eastAsia="Garamond" w:hAnsi="Garamond" w:cs="Garamond"/>
          <w:i/>
          <w:sz w:val="20"/>
          <w:szCs w:val="20"/>
        </w:rPr>
      </w:pPr>
      <w:r w:rsidRPr="009E526D">
        <w:rPr>
          <w:rFonts w:ascii="Garamond" w:eastAsia="Garamond" w:hAnsi="Garamond" w:cs="Garamond"/>
          <w:i/>
          <w:sz w:val="20"/>
          <w:szCs w:val="20"/>
        </w:rPr>
        <w:t xml:space="preserve">- </w:t>
      </w:r>
      <w:r w:rsidR="005A3B01" w:rsidRPr="009E526D">
        <w:rPr>
          <w:rFonts w:ascii="Garamond" w:eastAsia="Garamond" w:hAnsi="Garamond" w:cs="Garamond"/>
          <w:i/>
          <w:sz w:val="20"/>
          <w:szCs w:val="20"/>
        </w:rPr>
        <w:t>analizzare ed apprendere dagli eventi (compresi i near-miss), cambiamenti, tendenze, successi e fallimenti;</w:t>
      </w:r>
    </w:p>
    <w:p w14:paraId="5B175559" w14:textId="63BF983D" w:rsidR="005A3B01" w:rsidRPr="009E526D" w:rsidRDefault="009E526D" w:rsidP="009E526D">
      <w:pPr>
        <w:pStyle w:val="Paragrafoelenco"/>
        <w:spacing w:after="0" w:line="240" w:lineRule="auto"/>
        <w:ind w:left="0" w:right="159"/>
        <w:contextualSpacing w:val="0"/>
        <w:jc w:val="both"/>
        <w:rPr>
          <w:rFonts w:ascii="Garamond" w:eastAsia="Garamond" w:hAnsi="Garamond" w:cs="Garamond"/>
          <w:i/>
          <w:sz w:val="20"/>
          <w:szCs w:val="20"/>
        </w:rPr>
      </w:pPr>
      <w:r w:rsidRPr="009E526D">
        <w:rPr>
          <w:rFonts w:ascii="Garamond" w:eastAsia="Garamond" w:hAnsi="Garamond" w:cs="Garamond"/>
          <w:i/>
          <w:sz w:val="20"/>
          <w:szCs w:val="20"/>
        </w:rPr>
        <w:t xml:space="preserve">- </w:t>
      </w:r>
      <w:r w:rsidR="005A3B01" w:rsidRPr="009E526D">
        <w:rPr>
          <w:rFonts w:ascii="Garamond" w:eastAsia="Garamond" w:hAnsi="Garamond" w:cs="Garamond"/>
          <w:i/>
          <w:sz w:val="20"/>
          <w:szCs w:val="20"/>
        </w:rPr>
        <w:t>rilevare i cambiamenti nel contesto esterno ed interno, comprese le modifiche ai criteri di rischio e al rischio stesso, che possano richiedere revisioni dei Trattamenti del rischio e delle priorità;</w:t>
      </w:r>
    </w:p>
    <w:p w14:paraId="293212AC" w14:textId="48403879" w:rsidR="005A3B01" w:rsidRPr="009E526D" w:rsidRDefault="009E526D" w:rsidP="009E526D">
      <w:pPr>
        <w:pStyle w:val="Paragrafoelenco"/>
        <w:spacing w:after="0" w:line="240" w:lineRule="auto"/>
        <w:ind w:left="0" w:right="159"/>
        <w:contextualSpacing w:val="0"/>
        <w:jc w:val="both"/>
        <w:rPr>
          <w:rFonts w:ascii="Garamond" w:eastAsia="Garamond" w:hAnsi="Garamond" w:cs="Garamond"/>
          <w:i/>
          <w:sz w:val="20"/>
          <w:szCs w:val="20"/>
        </w:rPr>
      </w:pPr>
      <w:r w:rsidRPr="009E526D">
        <w:rPr>
          <w:rFonts w:ascii="Garamond" w:eastAsia="Garamond" w:hAnsi="Garamond" w:cs="Garamond"/>
          <w:i/>
          <w:sz w:val="20"/>
          <w:szCs w:val="20"/>
        </w:rPr>
        <w:t xml:space="preserve">- </w:t>
      </w:r>
      <w:r w:rsidR="005A3B01" w:rsidRPr="009E526D">
        <w:rPr>
          <w:rFonts w:ascii="Garamond" w:eastAsia="Garamond" w:hAnsi="Garamond" w:cs="Garamond"/>
          <w:i/>
          <w:sz w:val="20"/>
          <w:szCs w:val="20"/>
        </w:rPr>
        <w:t>identificare i rischi emergenti.</w:t>
      </w:r>
    </w:p>
    <w:p w14:paraId="6E25CA3B" w14:textId="48303625" w:rsidR="005A3B01" w:rsidRPr="009E526D" w:rsidRDefault="005A3B01" w:rsidP="009F1DAA">
      <w:pPr>
        <w:spacing w:after="0" w:line="240" w:lineRule="auto"/>
        <w:ind w:right="159"/>
        <w:jc w:val="both"/>
        <w:rPr>
          <w:rFonts w:ascii="Garamond" w:eastAsia="Garamond" w:hAnsi="Garamond" w:cs="Garamond"/>
          <w:sz w:val="20"/>
          <w:szCs w:val="20"/>
        </w:rPr>
      </w:pPr>
      <w:r w:rsidRPr="009E526D">
        <w:rPr>
          <w:rFonts w:ascii="Garamond" w:eastAsia="Garamond" w:hAnsi="Garamond" w:cs="Garamond"/>
          <w:sz w:val="20"/>
          <w:szCs w:val="20"/>
        </w:rPr>
        <w:t xml:space="preserve">Il riesame del rischio, di norma, viene effettuato con cadenza annuale.  </w:t>
      </w:r>
    </w:p>
    <w:p w14:paraId="252EC6FC" w14:textId="448C56E1" w:rsidR="006B769F" w:rsidRDefault="005A3B01" w:rsidP="00017FD6">
      <w:pPr>
        <w:spacing w:after="0" w:line="240" w:lineRule="auto"/>
        <w:ind w:right="159"/>
        <w:jc w:val="both"/>
        <w:rPr>
          <w:sz w:val="16"/>
          <w:szCs w:val="16"/>
        </w:rPr>
      </w:pPr>
      <w:r w:rsidRPr="009E526D">
        <w:rPr>
          <w:rFonts w:ascii="Garamond" w:eastAsia="Garamond" w:hAnsi="Garamond" w:cs="Garamond"/>
          <w:sz w:val="20"/>
          <w:szCs w:val="20"/>
        </w:rPr>
        <w:t xml:space="preserve">Le risultanze della fase sono riportate sul modulo </w:t>
      </w:r>
      <w:r w:rsidR="009E526D" w:rsidRPr="00DA283D">
        <w:rPr>
          <w:rFonts w:ascii="Garamond" w:eastAsia="Garamond" w:hAnsi="Garamond" w:cs="Garamond"/>
          <w:b/>
          <w:sz w:val="20"/>
          <w:szCs w:val="20"/>
        </w:rPr>
        <w:t>All</w:t>
      </w:r>
      <w:r w:rsidR="00DA283D" w:rsidRPr="00DA283D">
        <w:rPr>
          <w:rFonts w:ascii="Garamond" w:eastAsia="Garamond" w:hAnsi="Garamond" w:cs="Garamond"/>
          <w:b/>
          <w:sz w:val="20"/>
          <w:szCs w:val="20"/>
        </w:rPr>
        <w:t>eg</w:t>
      </w:r>
      <w:r w:rsidR="009E526D" w:rsidRPr="00DA283D">
        <w:rPr>
          <w:rFonts w:ascii="Garamond" w:eastAsia="Garamond" w:hAnsi="Garamond" w:cs="Garamond"/>
          <w:b/>
          <w:sz w:val="20"/>
          <w:szCs w:val="20"/>
        </w:rPr>
        <w:t>ato 4bis del MOG</w:t>
      </w:r>
    </w:p>
    <w:sectPr w:rsidR="006B769F" w:rsidSect="00B7707D">
      <w:headerReference w:type="default" r:id="rId9"/>
      <w:footerReference w:type="default" r:id="rId10"/>
      <w:headerReference w:type="first" r:id="rId11"/>
      <w:pgSz w:w="11906" w:h="16838" w:code="9"/>
      <w:pgMar w:top="2268" w:right="1134" w:bottom="1701" w:left="162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5876" w14:textId="77777777" w:rsidR="009E7686" w:rsidRDefault="009E7686" w:rsidP="00F64A7C">
      <w:pPr>
        <w:spacing w:after="0" w:line="240" w:lineRule="auto"/>
      </w:pPr>
      <w:r>
        <w:separator/>
      </w:r>
    </w:p>
  </w:endnote>
  <w:endnote w:type="continuationSeparator" w:id="0">
    <w:p w14:paraId="2FAC1B63" w14:textId="77777777" w:rsidR="009E7686" w:rsidRDefault="009E7686" w:rsidP="00F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Light">
    <w:altName w:val="Times New Roman"/>
    <w:charset w:val="00"/>
    <w:family w:val="auto"/>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variable"/>
    <w:sig w:usb0="A0002AE7" w:usb1="00000000" w:usb2="00000000" w:usb3="00000000" w:csb0="000001F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316100"/>
      <w:docPartObj>
        <w:docPartGallery w:val="Page Numbers (Bottom of Page)"/>
        <w:docPartUnique/>
      </w:docPartObj>
    </w:sdtPr>
    <w:sdtEndPr>
      <w:rPr>
        <w:rFonts w:ascii="Garamond" w:hAnsi="Garamond"/>
        <w:sz w:val="14"/>
        <w:szCs w:val="14"/>
      </w:rPr>
    </w:sdtEndPr>
    <w:sdtContent>
      <w:p w14:paraId="4CD7AA95" w14:textId="148C029D" w:rsidR="00017FD6" w:rsidRPr="00017FD6" w:rsidRDefault="00017FD6">
        <w:pPr>
          <w:pStyle w:val="Pidipagina"/>
          <w:jc w:val="right"/>
          <w:rPr>
            <w:rFonts w:ascii="Garamond" w:hAnsi="Garamond"/>
            <w:sz w:val="14"/>
            <w:szCs w:val="14"/>
          </w:rPr>
        </w:pPr>
        <w:r w:rsidRPr="00017FD6">
          <w:rPr>
            <w:rFonts w:ascii="Garamond" w:hAnsi="Garamond"/>
            <w:sz w:val="14"/>
            <w:szCs w:val="14"/>
          </w:rPr>
          <w:fldChar w:fldCharType="begin"/>
        </w:r>
        <w:r w:rsidRPr="00017FD6">
          <w:rPr>
            <w:rFonts w:ascii="Garamond" w:hAnsi="Garamond"/>
            <w:sz w:val="14"/>
            <w:szCs w:val="14"/>
          </w:rPr>
          <w:instrText>PAGE   \* MERGEFORMAT</w:instrText>
        </w:r>
        <w:r w:rsidRPr="00017FD6">
          <w:rPr>
            <w:rFonts w:ascii="Garamond" w:hAnsi="Garamond"/>
            <w:sz w:val="14"/>
            <w:szCs w:val="14"/>
          </w:rPr>
          <w:fldChar w:fldCharType="separate"/>
        </w:r>
        <w:r>
          <w:rPr>
            <w:rFonts w:ascii="Garamond" w:hAnsi="Garamond"/>
            <w:noProof/>
            <w:sz w:val="14"/>
            <w:szCs w:val="14"/>
          </w:rPr>
          <w:t>8</w:t>
        </w:r>
        <w:r w:rsidRPr="00017FD6">
          <w:rPr>
            <w:rFonts w:ascii="Garamond" w:hAnsi="Garamond"/>
            <w:sz w:val="14"/>
            <w:szCs w:val="14"/>
          </w:rPr>
          <w:fldChar w:fldCharType="end"/>
        </w:r>
      </w:p>
    </w:sdtContent>
  </w:sdt>
  <w:p w14:paraId="3E099128" w14:textId="77777777" w:rsidR="00017FD6" w:rsidRDefault="00017F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C6B0" w14:textId="77777777" w:rsidR="009E7686" w:rsidRDefault="009E7686" w:rsidP="00F64A7C">
      <w:pPr>
        <w:spacing w:after="0" w:line="240" w:lineRule="auto"/>
      </w:pPr>
      <w:r>
        <w:separator/>
      </w:r>
    </w:p>
  </w:footnote>
  <w:footnote w:type="continuationSeparator" w:id="0">
    <w:p w14:paraId="00C01043" w14:textId="77777777" w:rsidR="009E7686" w:rsidRDefault="009E7686" w:rsidP="00F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jc w:val="center"/>
      <w:tblLayout w:type="fixed"/>
      <w:tblCellMar>
        <w:left w:w="70" w:type="dxa"/>
        <w:right w:w="70" w:type="dxa"/>
      </w:tblCellMar>
      <w:tblLook w:val="04A0" w:firstRow="1" w:lastRow="0" w:firstColumn="1" w:lastColumn="0" w:noHBand="0" w:noVBand="1"/>
    </w:tblPr>
    <w:tblGrid>
      <w:gridCol w:w="2153"/>
      <w:gridCol w:w="4076"/>
      <w:gridCol w:w="2951"/>
    </w:tblGrid>
    <w:tr w:rsidR="007A6F53" w14:paraId="4D481949" w14:textId="77777777" w:rsidTr="00B53314">
      <w:trPr>
        <w:cantSplit/>
        <w:trHeight w:val="951"/>
        <w:jc w:val="center"/>
      </w:trPr>
      <w:tc>
        <w:tcPr>
          <w:tcW w:w="2153" w:type="dxa"/>
          <w:vMerge w:val="restart"/>
          <w:tcBorders>
            <w:top w:val="single" w:sz="6" w:space="0" w:color="auto"/>
            <w:left w:val="single" w:sz="6" w:space="0" w:color="auto"/>
            <w:bottom w:val="nil"/>
            <w:right w:val="single" w:sz="6" w:space="0" w:color="auto"/>
          </w:tcBorders>
          <w:vAlign w:val="center"/>
          <w:hideMark/>
        </w:tcPr>
        <w:p w14:paraId="7F328979" w14:textId="77777777" w:rsidR="007A6F53" w:rsidRDefault="007A6F53" w:rsidP="007A6F53">
          <w:r>
            <w:rPr>
              <w:noProof/>
            </w:rPr>
            <w:drawing>
              <wp:inline distT="0" distB="0" distL="0" distR="0" wp14:anchorId="4962597D" wp14:editId="5D0FE2FB">
                <wp:extent cx="1227455" cy="685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85800"/>
                        </a:xfrm>
                        <a:prstGeom prst="rect">
                          <a:avLst/>
                        </a:prstGeom>
                        <a:noFill/>
                        <a:ln>
                          <a:noFill/>
                        </a:ln>
                      </pic:spPr>
                    </pic:pic>
                  </a:graphicData>
                </a:graphic>
              </wp:inline>
            </w:drawing>
          </w:r>
        </w:p>
      </w:tc>
      <w:tc>
        <w:tcPr>
          <w:tcW w:w="4076" w:type="dxa"/>
          <w:vMerge w:val="restart"/>
          <w:tcBorders>
            <w:top w:val="single" w:sz="4" w:space="0" w:color="auto"/>
            <w:left w:val="single" w:sz="6" w:space="0" w:color="auto"/>
            <w:bottom w:val="nil"/>
            <w:right w:val="nil"/>
          </w:tcBorders>
          <w:vAlign w:val="center"/>
        </w:tcPr>
        <w:p w14:paraId="50D0D480" w14:textId="77777777" w:rsidR="007A6F53" w:rsidRDefault="007A6F53" w:rsidP="007A6F53">
          <w:pPr>
            <w:spacing w:after="0" w:line="240" w:lineRule="auto"/>
            <w:jc w:val="center"/>
            <w:rPr>
              <w:rFonts w:cs="Arial"/>
              <w:b/>
            </w:rPr>
          </w:pPr>
        </w:p>
        <w:p w14:paraId="767521EA" w14:textId="77777777" w:rsidR="007A6F53" w:rsidRPr="007A6F53" w:rsidRDefault="007A6F53" w:rsidP="007A6F53">
          <w:pPr>
            <w:spacing w:after="0" w:line="240" w:lineRule="auto"/>
            <w:jc w:val="center"/>
            <w:rPr>
              <w:rFonts w:ascii="Garamond" w:hAnsi="Garamond" w:cs="Arial"/>
              <w:b/>
              <w:sz w:val="16"/>
              <w:szCs w:val="16"/>
            </w:rPr>
          </w:pPr>
          <w:r w:rsidRPr="007A6F53">
            <w:rPr>
              <w:rFonts w:ascii="Garamond" w:hAnsi="Garamond" w:cs="Arial"/>
              <w:b/>
              <w:sz w:val="16"/>
              <w:szCs w:val="16"/>
            </w:rPr>
            <w:t>Modello di Organizzazione, Gestione e Controllo ex Decreto Legislativo 8 giugno 2001, n. 231</w:t>
          </w:r>
        </w:p>
        <w:p w14:paraId="06A31209" w14:textId="77777777" w:rsidR="007A6F53" w:rsidRPr="007A6F53" w:rsidRDefault="007A6F53" w:rsidP="007A6F53">
          <w:pPr>
            <w:spacing w:after="0" w:line="240" w:lineRule="auto"/>
            <w:jc w:val="center"/>
            <w:rPr>
              <w:rFonts w:ascii="Garamond" w:eastAsia="Garamond" w:hAnsi="Garamond" w:cs="Garamond"/>
              <w:b/>
              <w:caps/>
              <w:sz w:val="16"/>
              <w:szCs w:val="16"/>
              <w:lang w:val="it"/>
            </w:rPr>
          </w:pPr>
          <w:r w:rsidRPr="007A6F53">
            <w:rPr>
              <w:rFonts w:ascii="Garamond" w:hAnsi="Garamond"/>
              <w:b/>
              <w:sz w:val="16"/>
              <w:szCs w:val="16"/>
            </w:rPr>
            <w:t xml:space="preserve">MODELLO DI </w:t>
          </w:r>
          <w:r w:rsidRPr="007A6F53">
            <w:rPr>
              <w:rFonts w:ascii="Garamond" w:hAnsi="Garamond"/>
              <w:noProof/>
              <w:sz w:val="16"/>
              <w:szCs w:val="16"/>
              <w:lang w:eastAsia="it-IT"/>
            </w:rPr>
            <mc:AlternateContent>
              <mc:Choice Requires="wps">
                <w:drawing>
                  <wp:anchor distT="0" distB="0" distL="114300" distR="114300" simplePos="0" relativeHeight="251661312" behindDoc="0" locked="0" layoutInCell="1" allowOverlap="1" wp14:anchorId="45839777" wp14:editId="645699BA">
                    <wp:simplePos x="0" y="0"/>
                    <wp:positionH relativeFrom="margin">
                      <wp:posOffset>-139700</wp:posOffset>
                    </wp:positionH>
                    <wp:positionV relativeFrom="paragraph">
                      <wp:posOffset>7456682</wp:posOffset>
                    </wp:positionV>
                    <wp:extent cx="6096000" cy="8318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6096000" cy="83185"/>
                            </a:xfrm>
                            <a:prstGeom prst="rect">
                              <a:avLst/>
                            </a:prstGeom>
                            <a:solidFill>
                              <a:srgbClr val="28820D"/>
                            </a:solidFill>
                            <a:ln w="6350">
                              <a:noFill/>
                            </a:ln>
                          </wps:spPr>
                          <wps:txbx>
                            <w:txbxContent>
                              <w:p w14:paraId="78367A70" w14:textId="77777777" w:rsidR="007A6F53" w:rsidRDefault="007A6F53" w:rsidP="007A6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39777" id="_x0000_t202" coordsize="21600,21600" o:spt="202" path="m,l,21600r21600,l21600,xe">
                    <v:stroke joinstyle="miter"/>
                    <v:path gradientshapeok="t" o:connecttype="rect"/>
                  </v:shapetype>
                  <v:shape id="Casella di testo 8" o:spid="_x0000_s1027" type="#_x0000_t202" style="position:absolute;left:0;text-align:left;margin-left:-11pt;margin-top:587.15pt;width:480pt;height: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9SAIAAIEEAAAOAAAAZHJzL2Uyb0RvYy54bWysVMGO2jAQvVfqP1i+lwQWaBYRVhREVQnt&#10;rsRWezaOQyw5Htc2JPTrO3YCS7c9Vb04Y8/4ed68mcwf2lqRk7BOgs7pcJBSIjSHQupDTr+/bD5l&#10;lDjPdMEUaJHTs3D0YfHxw7wxMzGCClQhLEEQ7WaNyWnlvZklieOVqJkbgBEanSXYmnnc2kNSWNYg&#10;eq2SUZpOkwZsYSxw4RyerjsnXUT8shTcP5WlE56onGJuPq42rvuwJos5mx0sM5XkfRrsH7KomdT4&#10;6BVqzTwjRyv/gKolt+Cg9AMOdQJlKbmIHJDNMH3HZlcxIyIXLI4z1zK5/wfLH0/PlsgipyiUZjVK&#10;tGJOKMVIIYkXzgPJQpUa42YYvDMY7tsv0KLal3OHh4F8W9o6fJEWQT/W+3ytsWg94Xg4Te+naYou&#10;jr7sbphNAkrydtlY578KqEkwcmpRwlhZdto634VeQsJbDpQsNlKpuLGH/UpZcmIo9yjLRum6R/8t&#10;TGnSYCZ3kzQiawj3O2ilMZnAteMULN/u274AeyjOyN9C10fO8I3ELLfM+WdmsXGQFw6Df8KlVICP&#10;QG9RUoH9+bfzEI96opeSBhsxp+7HkVlBifqmUen74XgcOjduxpPPI9zYW8/+1qOP9QqQ/BDHzvBo&#10;hnivLmZpoX7FmVmGV9HFNMe3c+ov5sp344Ezx8VyGYOwVw3zW70zPECHUgcNXtpXZk0vlEeFH+HS&#10;smz2Tq8uNtzUsDx6KGUUMxS4q2pfd+zz2A79TIZBut3HqLc/x+IXAAAA//8DAFBLAwQUAAYACAAA&#10;ACEA2X4vrOIAAAANAQAADwAAAGRycy9kb3ducmV2LnhtbEyPwU7DMBBE70j8g7VIXFDrNInaNMSp&#10;EBWHqr0QUM9u7CYR9jrEbhP+nu0Jjjszmn1TbCZr2FUPvnMoYDGPgGmsneqwEfD58TbLgPkgUUnj&#10;UAv40R425f1dIXPlRnzX1yo0jErQ51JAG0Kfc+7rVlvp567XSN7ZDVYGOoeGq0GOVG4Nj6Noya3s&#10;kD60stevra6/qosVcEy2e7M/P6XOjQfcbZd9hd87IR4fppdnYEFP4S8MN3xCh5KYTu6CyjMjYBbH&#10;tCWQsVilCTCKrJOMpNNNylYp8LLg/1eUvwAAAP//AwBQSwECLQAUAAYACAAAACEAtoM4kv4AAADh&#10;AQAAEwAAAAAAAAAAAAAAAAAAAAAAW0NvbnRlbnRfVHlwZXNdLnhtbFBLAQItABQABgAIAAAAIQA4&#10;/SH/1gAAAJQBAAALAAAAAAAAAAAAAAAAAC8BAABfcmVscy8ucmVsc1BLAQItABQABgAIAAAAIQC9&#10;+q89SAIAAIEEAAAOAAAAAAAAAAAAAAAAAC4CAABkcnMvZTJvRG9jLnhtbFBLAQItABQABgAIAAAA&#10;IQDZfi+s4gAAAA0BAAAPAAAAAAAAAAAAAAAAAKIEAABkcnMvZG93bnJldi54bWxQSwUGAAAAAAQA&#10;BADzAAAAsQUAAAAA&#10;" fillcolor="#28820d" stroked="f" strokeweight=".5pt">
                    <v:textbox>
                      <w:txbxContent>
                        <w:p w14:paraId="78367A70" w14:textId="77777777" w:rsidR="007A6F53" w:rsidRDefault="007A6F53" w:rsidP="007A6F53"/>
                      </w:txbxContent>
                    </v:textbox>
                    <w10:wrap anchorx="margin"/>
                  </v:shape>
                </w:pict>
              </mc:Fallback>
            </mc:AlternateContent>
          </w:r>
          <w:r w:rsidRPr="007A6F53">
            <w:rPr>
              <w:rFonts w:ascii="Garamond" w:eastAsia="Garamond" w:hAnsi="Garamond" w:cs="Garamond"/>
              <w:b/>
              <w:caps/>
              <w:sz w:val="16"/>
              <w:szCs w:val="16"/>
              <w:lang w:val="it"/>
            </w:rPr>
            <w:t>Valutazione deI rischi AZIENDALI</w:t>
          </w:r>
        </w:p>
        <w:p w14:paraId="38F798D8" w14:textId="77777777" w:rsidR="007A6F53" w:rsidRPr="007A6F53" w:rsidRDefault="007A6F53" w:rsidP="007A6F53">
          <w:pPr>
            <w:spacing w:after="0" w:line="240" w:lineRule="auto"/>
            <w:jc w:val="center"/>
            <w:rPr>
              <w:rFonts w:ascii="Garamond" w:hAnsi="Garamond"/>
              <w:b/>
              <w:sz w:val="16"/>
              <w:szCs w:val="16"/>
              <w:lang w:val="it"/>
            </w:rPr>
          </w:pPr>
        </w:p>
        <w:p w14:paraId="0DAF6B71" w14:textId="77777777" w:rsidR="007A6F53" w:rsidRPr="007A6F53" w:rsidRDefault="007A6F53" w:rsidP="007A6F53">
          <w:pPr>
            <w:spacing w:after="0" w:line="240" w:lineRule="auto"/>
            <w:jc w:val="center"/>
            <w:rPr>
              <w:rFonts w:ascii="Garamond" w:hAnsi="Garamond"/>
              <w:b/>
              <w:sz w:val="16"/>
              <w:szCs w:val="16"/>
            </w:rPr>
          </w:pPr>
          <w:r w:rsidRPr="007A6F53">
            <w:rPr>
              <w:rFonts w:ascii="Garamond" w:hAnsi="Garamond"/>
              <w:b/>
              <w:sz w:val="16"/>
              <w:szCs w:val="16"/>
            </w:rPr>
            <w:t>Allegato 9BIS</w:t>
          </w:r>
        </w:p>
        <w:p w14:paraId="1DB980C8" w14:textId="77777777" w:rsidR="007A6F53" w:rsidRDefault="007A6F53" w:rsidP="007A6F53">
          <w:pPr>
            <w:spacing w:after="0" w:line="240" w:lineRule="auto"/>
            <w:jc w:val="center"/>
            <w:rPr>
              <w:rFonts w:ascii="Garamond" w:hAnsi="Garamond" w:cs="Times New Roman"/>
              <w:b/>
              <w:sz w:val="16"/>
              <w:szCs w:val="16"/>
            </w:rPr>
          </w:pPr>
          <w:r>
            <w:rPr>
              <w:rFonts w:ascii="Garamond" w:hAnsi="Garamond"/>
              <w:b/>
              <w:sz w:val="16"/>
              <w:szCs w:val="16"/>
            </w:rPr>
            <w:br/>
          </w:r>
        </w:p>
        <w:p w14:paraId="708E2B01" w14:textId="77777777" w:rsidR="007A6F53" w:rsidRDefault="007A6F53" w:rsidP="007A6F53">
          <w:pPr>
            <w:spacing w:after="0" w:line="240" w:lineRule="auto"/>
            <w:rPr>
              <w:rFonts w:ascii="Times New Roman" w:hAnsi="Times New Roman"/>
              <w:sz w:val="24"/>
              <w:szCs w:val="24"/>
            </w:rPr>
          </w:pPr>
        </w:p>
      </w:tc>
      <w:tc>
        <w:tcPr>
          <w:tcW w:w="2951" w:type="dxa"/>
          <w:tcBorders>
            <w:top w:val="single" w:sz="6" w:space="0" w:color="auto"/>
            <w:left w:val="single" w:sz="6" w:space="0" w:color="auto"/>
            <w:bottom w:val="nil"/>
            <w:right w:val="single" w:sz="6" w:space="0" w:color="auto"/>
          </w:tcBorders>
          <w:vAlign w:val="center"/>
          <w:hideMark/>
        </w:tcPr>
        <w:p w14:paraId="1914C7F7" w14:textId="77777777" w:rsidR="007A6F53" w:rsidRDefault="007A6F53" w:rsidP="007A6F53">
          <w:pPr>
            <w:spacing w:after="0" w:line="240" w:lineRule="auto"/>
            <w:jc w:val="center"/>
            <w:rPr>
              <w:b/>
              <w:bCs/>
              <w:sz w:val="18"/>
            </w:rPr>
          </w:pPr>
          <w:r>
            <w:rPr>
              <w:b/>
              <w:bCs/>
              <w:noProof/>
            </w:rPr>
            <w:t>Azienda Servizi pubblici S.p.A. (ASP)</w:t>
          </w:r>
        </w:p>
      </w:tc>
    </w:tr>
    <w:tr w:rsidR="007A6F53" w14:paraId="03A48C9F" w14:textId="77777777" w:rsidTr="00B53314">
      <w:trPr>
        <w:cantSplit/>
        <w:trHeight w:val="719"/>
        <w:jc w:val="center"/>
      </w:trPr>
      <w:tc>
        <w:tcPr>
          <w:tcW w:w="2153" w:type="dxa"/>
          <w:vMerge/>
          <w:tcBorders>
            <w:top w:val="single" w:sz="6" w:space="0" w:color="auto"/>
            <w:left w:val="single" w:sz="6" w:space="0" w:color="auto"/>
            <w:bottom w:val="nil"/>
            <w:right w:val="single" w:sz="6" w:space="0" w:color="auto"/>
          </w:tcBorders>
          <w:vAlign w:val="center"/>
          <w:hideMark/>
        </w:tcPr>
        <w:p w14:paraId="61FED517" w14:textId="77777777" w:rsidR="007A6F53" w:rsidRDefault="007A6F53" w:rsidP="007A6F53">
          <w:pPr>
            <w:rPr>
              <w:sz w:val="24"/>
              <w:szCs w:val="24"/>
            </w:rPr>
          </w:pPr>
        </w:p>
      </w:tc>
      <w:tc>
        <w:tcPr>
          <w:tcW w:w="4076" w:type="dxa"/>
          <w:vMerge/>
          <w:tcBorders>
            <w:top w:val="single" w:sz="4" w:space="0" w:color="auto"/>
            <w:left w:val="single" w:sz="6" w:space="0" w:color="auto"/>
            <w:bottom w:val="nil"/>
            <w:right w:val="nil"/>
          </w:tcBorders>
          <w:vAlign w:val="center"/>
          <w:hideMark/>
        </w:tcPr>
        <w:p w14:paraId="0841CFD1" w14:textId="77777777" w:rsidR="007A6F53" w:rsidRDefault="007A6F53" w:rsidP="007A6F53">
          <w:pPr>
            <w:spacing w:after="0" w:line="240" w:lineRule="auto"/>
            <w:rPr>
              <w:sz w:val="24"/>
              <w:szCs w:val="24"/>
            </w:rPr>
          </w:pPr>
        </w:p>
      </w:tc>
      <w:tc>
        <w:tcPr>
          <w:tcW w:w="2951" w:type="dxa"/>
          <w:tcBorders>
            <w:top w:val="single" w:sz="4" w:space="0" w:color="auto"/>
            <w:left w:val="single" w:sz="6" w:space="0" w:color="auto"/>
            <w:bottom w:val="nil"/>
            <w:right w:val="single" w:sz="6" w:space="0" w:color="auto"/>
          </w:tcBorders>
          <w:vAlign w:val="center"/>
          <w:hideMark/>
        </w:tcPr>
        <w:p w14:paraId="5FCE2D16" w14:textId="77777777" w:rsidR="007A6F53" w:rsidRDefault="007A6F53" w:rsidP="007A6F53">
          <w:pPr>
            <w:spacing w:after="0" w:line="240" w:lineRule="auto"/>
            <w:jc w:val="center"/>
            <w:rPr>
              <w:b/>
              <w:sz w:val="18"/>
              <w:szCs w:val="18"/>
            </w:rPr>
          </w:pPr>
          <w:r>
            <w:rPr>
              <w:rFonts w:cs="Arial"/>
              <w:b/>
              <w:sz w:val="18"/>
              <w:szCs w:val="18"/>
            </w:rPr>
            <w:t>Approvato in data:</w:t>
          </w:r>
          <w:r>
            <w:rPr>
              <w:b/>
              <w:caps/>
              <w:sz w:val="18"/>
              <w:szCs w:val="18"/>
            </w:rPr>
            <w:t xml:space="preserve"> </w:t>
          </w:r>
        </w:p>
      </w:tc>
    </w:tr>
    <w:tr w:rsidR="007A6F53" w14:paraId="4FE2C312" w14:textId="77777777" w:rsidTr="00B53314">
      <w:trPr>
        <w:cantSplit/>
        <w:trHeight w:val="65"/>
        <w:jc w:val="center"/>
      </w:trPr>
      <w:tc>
        <w:tcPr>
          <w:tcW w:w="6229" w:type="dxa"/>
          <w:gridSpan w:val="2"/>
          <w:tcBorders>
            <w:top w:val="single" w:sz="4" w:space="0" w:color="auto"/>
            <w:left w:val="single" w:sz="6" w:space="0" w:color="auto"/>
            <w:bottom w:val="single" w:sz="4" w:space="0" w:color="auto"/>
            <w:right w:val="nil"/>
          </w:tcBorders>
          <w:vAlign w:val="center"/>
        </w:tcPr>
        <w:p w14:paraId="5AB36B41" w14:textId="77777777" w:rsidR="007A6F53" w:rsidRDefault="007A6F53" w:rsidP="007A6F53">
          <w:pPr>
            <w:spacing w:after="0" w:line="240" w:lineRule="auto"/>
            <w:rPr>
              <w:b/>
              <w:sz w:val="18"/>
              <w:szCs w:val="24"/>
            </w:rPr>
          </w:pPr>
        </w:p>
      </w:tc>
      <w:tc>
        <w:tcPr>
          <w:tcW w:w="2951" w:type="dxa"/>
          <w:tcBorders>
            <w:top w:val="single" w:sz="4" w:space="0" w:color="auto"/>
            <w:left w:val="single" w:sz="6" w:space="0" w:color="auto"/>
            <w:bottom w:val="single" w:sz="4" w:space="0" w:color="auto"/>
            <w:right w:val="single" w:sz="6" w:space="0" w:color="auto"/>
          </w:tcBorders>
          <w:vAlign w:val="center"/>
          <w:hideMark/>
        </w:tcPr>
        <w:p w14:paraId="30267EFF" w14:textId="77777777" w:rsidR="007A6F53" w:rsidRDefault="007A6F53" w:rsidP="007A6F53">
          <w:pPr>
            <w:spacing w:after="0" w:line="240" w:lineRule="auto"/>
            <w:jc w:val="center"/>
            <w:rPr>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09E0E8F7" w14:textId="77777777" w:rsidR="007A6F53" w:rsidRPr="007A6F53" w:rsidRDefault="007A6F53">
    <w:pPr>
      <w:pStyle w:val="Intestazion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jc w:val="center"/>
      <w:tblLayout w:type="fixed"/>
      <w:tblCellMar>
        <w:left w:w="70" w:type="dxa"/>
        <w:right w:w="70" w:type="dxa"/>
      </w:tblCellMar>
      <w:tblLook w:val="04A0" w:firstRow="1" w:lastRow="0" w:firstColumn="1" w:lastColumn="0" w:noHBand="0" w:noVBand="1"/>
    </w:tblPr>
    <w:tblGrid>
      <w:gridCol w:w="2153"/>
      <w:gridCol w:w="4076"/>
      <w:gridCol w:w="2951"/>
    </w:tblGrid>
    <w:tr w:rsidR="007A6F53" w14:paraId="59E17D34" w14:textId="77777777" w:rsidTr="007A6F53">
      <w:trPr>
        <w:cantSplit/>
        <w:trHeight w:val="951"/>
        <w:jc w:val="center"/>
      </w:trPr>
      <w:tc>
        <w:tcPr>
          <w:tcW w:w="2153" w:type="dxa"/>
          <w:vMerge w:val="restart"/>
          <w:tcBorders>
            <w:top w:val="single" w:sz="6" w:space="0" w:color="auto"/>
            <w:left w:val="single" w:sz="6" w:space="0" w:color="auto"/>
            <w:bottom w:val="nil"/>
            <w:right w:val="single" w:sz="6" w:space="0" w:color="auto"/>
          </w:tcBorders>
          <w:vAlign w:val="center"/>
          <w:hideMark/>
        </w:tcPr>
        <w:p w14:paraId="3BD90AE0" w14:textId="1C4437B1" w:rsidR="007A6F53" w:rsidRDefault="007A6F53" w:rsidP="007A6F53">
          <w:r>
            <w:rPr>
              <w:noProof/>
            </w:rPr>
            <w:drawing>
              <wp:inline distT="0" distB="0" distL="0" distR="0" wp14:anchorId="73B68353" wp14:editId="616C8C03">
                <wp:extent cx="1227455"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85800"/>
                        </a:xfrm>
                        <a:prstGeom prst="rect">
                          <a:avLst/>
                        </a:prstGeom>
                        <a:noFill/>
                        <a:ln>
                          <a:noFill/>
                        </a:ln>
                      </pic:spPr>
                    </pic:pic>
                  </a:graphicData>
                </a:graphic>
              </wp:inline>
            </w:drawing>
          </w:r>
        </w:p>
      </w:tc>
      <w:tc>
        <w:tcPr>
          <w:tcW w:w="4076" w:type="dxa"/>
          <w:vMerge w:val="restart"/>
          <w:tcBorders>
            <w:top w:val="single" w:sz="4" w:space="0" w:color="auto"/>
            <w:left w:val="single" w:sz="6" w:space="0" w:color="auto"/>
            <w:bottom w:val="nil"/>
            <w:right w:val="nil"/>
          </w:tcBorders>
          <w:vAlign w:val="center"/>
        </w:tcPr>
        <w:p w14:paraId="108319CE" w14:textId="77777777" w:rsidR="007A6F53" w:rsidRDefault="007A6F53" w:rsidP="007A6F53">
          <w:pPr>
            <w:spacing w:after="0" w:line="240" w:lineRule="auto"/>
            <w:jc w:val="center"/>
            <w:rPr>
              <w:rFonts w:cs="Arial"/>
              <w:b/>
            </w:rPr>
          </w:pPr>
        </w:p>
        <w:p w14:paraId="1081B2EE" w14:textId="77777777" w:rsidR="007A6F53" w:rsidRPr="007A6F53" w:rsidRDefault="007A6F53" w:rsidP="007A6F53">
          <w:pPr>
            <w:spacing w:after="0" w:line="240" w:lineRule="auto"/>
            <w:jc w:val="center"/>
            <w:rPr>
              <w:rFonts w:ascii="Garamond" w:hAnsi="Garamond" w:cs="Arial"/>
              <w:b/>
              <w:sz w:val="16"/>
              <w:szCs w:val="16"/>
            </w:rPr>
          </w:pPr>
          <w:r w:rsidRPr="007A6F53">
            <w:rPr>
              <w:rFonts w:ascii="Garamond" w:hAnsi="Garamond" w:cs="Arial"/>
              <w:b/>
              <w:sz w:val="16"/>
              <w:szCs w:val="16"/>
            </w:rPr>
            <w:t>Modello di Organizzazione, Gestione e Controllo ex Decreto Legislativo 8 giugno 2001, n. 231</w:t>
          </w:r>
        </w:p>
        <w:p w14:paraId="3602C94E" w14:textId="77777777" w:rsidR="007A6F53" w:rsidRPr="007A6F53" w:rsidRDefault="007A6F53" w:rsidP="007A6F53">
          <w:pPr>
            <w:spacing w:after="0" w:line="240" w:lineRule="auto"/>
            <w:jc w:val="center"/>
            <w:rPr>
              <w:rFonts w:ascii="Garamond" w:eastAsia="Garamond" w:hAnsi="Garamond" w:cs="Garamond"/>
              <w:b/>
              <w:caps/>
              <w:sz w:val="16"/>
              <w:szCs w:val="16"/>
              <w:lang w:val="it"/>
            </w:rPr>
          </w:pPr>
          <w:r w:rsidRPr="007A6F53">
            <w:rPr>
              <w:rFonts w:ascii="Garamond" w:hAnsi="Garamond"/>
              <w:b/>
              <w:sz w:val="16"/>
              <w:szCs w:val="16"/>
            </w:rPr>
            <w:t xml:space="preserve">MODELLO DI </w:t>
          </w:r>
          <w:r w:rsidRPr="007A6F53">
            <w:rPr>
              <w:rFonts w:ascii="Garamond" w:hAnsi="Garamond"/>
              <w:noProof/>
              <w:sz w:val="16"/>
              <w:szCs w:val="16"/>
              <w:lang w:eastAsia="it-IT"/>
            </w:rPr>
            <mc:AlternateContent>
              <mc:Choice Requires="wps">
                <w:drawing>
                  <wp:anchor distT="0" distB="0" distL="114300" distR="114300" simplePos="0" relativeHeight="251659264" behindDoc="0" locked="0" layoutInCell="1" allowOverlap="1" wp14:anchorId="2897E241" wp14:editId="65CF97FA">
                    <wp:simplePos x="0" y="0"/>
                    <wp:positionH relativeFrom="margin">
                      <wp:posOffset>-139700</wp:posOffset>
                    </wp:positionH>
                    <wp:positionV relativeFrom="paragraph">
                      <wp:posOffset>7456682</wp:posOffset>
                    </wp:positionV>
                    <wp:extent cx="6096000" cy="83185"/>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6096000" cy="83185"/>
                            </a:xfrm>
                            <a:prstGeom prst="rect">
                              <a:avLst/>
                            </a:prstGeom>
                            <a:solidFill>
                              <a:srgbClr val="28820D"/>
                            </a:solidFill>
                            <a:ln w="6350">
                              <a:noFill/>
                            </a:ln>
                          </wps:spPr>
                          <wps:txbx>
                            <w:txbxContent>
                              <w:p w14:paraId="0D7AAB1A" w14:textId="77777777" w:rsidR="007A6F53" w:rsidRDefault="007A6F53" w:rsidP="007A6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7E241" id="_x0000_t202" coordsize="21600,21600" o:spt="202" path="m,l,21600r21600,l21600,xe">
                    <v:stroke joinstyle="miter"/>
                    <v:path gradientshapeok="t" o:connecttype="rect"/>
                  </v:shapetype>
                  <v:shape id="Casella di testo 7" o:spid="_x0000_s1028" type="#_x0000_t202" style="position:absolute;left:0;text-align:left;margin-left:-11pt;margin-top:587.15pt;width:480pt;height: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lVSgIAAIgEAAAOAAAAZHJzL2Uyb0RvYy54bWysVE2P2jAQvVfqf7B8LwksXxsRVhREVQnt&#10;rsRWezaOA5Ycj2sbEvrrO3YCy257qnpxxp7x88x7M5k9NJUiJ2GdBJ3Tfi+lRGgOhdT7nP54WX+Z&#10;UuI80wVToEVOz8LRh/nnT7PaZGIAB1CFsARBtMtqk9OD9yZLEscPomKuB0ZodJZgK+Zxa/dJYVmN&#10;6JVKBmk6TmqwhbHAhXN4umqddB7xy1Jw/1SWTniicoq5+bjauO7CmsxnLNtbZg6Sd2mwf8iiYlLj&#10;o1eoFfOMHK38A6qS3IKD0vc4VAmUpeQi1oDV9NMP1WwPzIhYC5LjzJUm9/9g+ePp2RJZ5HRCiWYV&#10;SrRkTijFSCGJF84DmQSWauMyDN4aDPfNV2hQ7cu5w8NQfFPaKnyxLIJ+5Pt85Vg0nnA8HKf34zRF&#10;F0ff9K4/HQWU5O2ysc5/E1CRYOTUooSRWXbaON+GXkLCWw6ULNZSqbix+91SWXJiKPdgOh2kqw79&#10;XZjSpMZM7kZpRNYQ7rfQSmMyoda2pmD5ZtdEhq717qA4Iw0W2nZyhq8lJrthzj8zi/2D5eFM+Cdc&#10;SgX4FnQWJQewv/52HuJRVvRSUmM/5tT9PDIrKFHfNQp+3x8OQwPHzXA0GeDG3np2tx59rJaAHPRx&#10;+gyPZoj36mKWFqpXHJ1FeBVdTHN8O6f+Yi59OyU4elwsFjEIW9Ywv9FbwwN0YDxI8dK8Mms6vTwK&#10;/QiXzmXZB9na2HBTw+LooZRR08Bzy2pHP7Z77IpuNMM83e5j1NsPZP4bAAD//wMAUEsDBBQABgAI&#10;AAAAIQDZfi+s4gAAAA0BAAAPAAAAZHJzL2Rvd25yZXYueG1sTI/BTsMwEETvSPyDtUhcUOs0ido0&#10;xKkQFYeqvRBQz27sJhH2OsRuE/6e7QmOOzOafVNsJmvYVQ++cyhgMY+Aaayd6rAR8PnxNsuA+SBR&#10;SeNQC/jRHjbl/V0hc+VGfNfXKjSMStDnUkAbQp9z7utWW+nnrtdI3tkNVgY6h4arQY5Ubg2Po2jJ&#10;reyQPrSy16+trr+qixVwTLZ7sz8/pc6NB9xtl32F3zshHh+ml2dgQU/hLww3fEKHkphO7oLKMyNg&#10;Fse0JZCxWKUJMIqsk4yk003KVinwsuD/V5S/AAAA//8DAFBLAQItABQABgAIAAAAIQC2gziS/gAA&#10;AOEBAAATAAAAAAAAAAAAAAAAAAAAAABbQ29udGVudF9UeXBlc10ueG1sUEsBAi0AFAAGAAgAAAAh&#10;ADj9If/WAAAAlAEAAAsAAAAAAAAAAAAAAAAALwEAAF9yZWxzLy5yZWxzUEsBAi0AFAAGAAgAAAAh&#10;ANDu2VVKAgAAiAQAAA4AAAAAAAAAAAAAAAAALgIAAGRycy9lMm9Eb2MueG1sUEsBAi0AFAAGAAgA&#10;AAAhANl+L6ziAAAADQEAAA8AAAAAAAAAAAAAAAAApAQAAGRycy9kb3ducmV2LnhtbFBLBQYAAAAA&#10;BAAEAPMAAACzBQAAAAA=&#10;" fillcolor="#28820d" stroked="f" strokeweight=".5pt">
                    <v:textbox>
                      <w:txbxContent>
                        <w:p w14:paraId="0D7AAB1A" w14:textId="77777777" w:rsidR="007A6F53" w:rsidRDefault="007A6F53" w:rsidP="007A6F53"/>
                      </w:txbxContent>
                    </v:textbox>
                    <w10:wrap anchorx="margin"/>
                  </v:shape>
                </w:pict>
              </mc:Fallback>
            </mc:AlternateContent>
          </w:r>
          <w:r w:rsidRPr="007A6F53">
            <w:rPr>
              <w:rFonts w:ascii="Garamond" w:eastAsia="Garamond" w:hAnsi="Garamond" w:cs="Garamond"/>
              <w:b/>
              <w:caps/>
              <w:sz w:val="16"/>
              <w:szCs w:val="16"/>
              <w:lang w:val="it"/>
            </w:rPr>
            <w:t>Valutazione deI rischi AZIENDALI</w:t>
          </w:r>
        </w:p>
        <w:p w14:paraId="23F18C68" w14:textId="77777777" w:rsidR="007A6F53" w:rsidRPr="007A6F53" w:rsidRDefault="007A6F53" w:rsidP="007A6F53">
          <w:pPr>
            <w:spacing w:after="0" w:line="240" w:lineRule="auto"/>
            <w:jc w:val="center"/>
            <w:rPr>
              <w:rFonts w:ascii="Garamond" w:hAnsi="Garamond"/>
              <w:b/>
              <w:sz w:val="16"/>
              <w:szCs w:val="16"/>
              <w:lang w:val="it"/>
            </w:rPr>
          </w:pPr>
        </w:p>
        <w:p w14:paraId="04A427CF" w14:textId="77777777" w:rsidR="007A6F53" w:rsidRPr="007A6F53" w:rsidRDefault="007A6F53" w:rsidP="007A6F53">
          <w:pPr>
            <w:spacing w:after="0" w:line="240" w:lineRule="auto"/>
            <w:jc w:val="center"/>
            <w:rPr>
              <w:rFonts w:ascii="Garamond" w:hAnsi="Garamond"/>
              <w:b/>
              <w:sz w:val="16"/>
              <w:szCs w:val="16"/>
            </w:rPr>
          </w:pPr>
          <w:r w:rsidRPr="007A6F53">
            <w:rPr>
              <w:rFonts w:ascii="Garamond" w:hAnsi="Garamond"/>
              <w:b/>
              <w:sz w:val="16"/>
              <w:szCs w:val="16"/>
            </w:rPr>
            <w:t>Allegato 9BIS</w:t>
          </w:r>
        </w:p>
        <w:p w14:paraId="5ABA05B0" w14:textId="789F2C7D" w:rsidR="007A6F53" w:rsidRDefault="007A6F53" w:rsidP="007A6F53">
          <w:pPr>
            <w:spacing w:after="0" w:line="240" w:lineRule="auto"/>
            <w:jc w:val="center"/>
            <w:rPr>
              <w:rFonts w:ascii="Garamond" w:hAnsi="Garamond" w:cs="Times New Roman"/>
              <w:b/>
              <w:sz w:val="16"/>
              <w:szCs w:val="16"/>
            </w:rPr>
          </w:pPr>
          <w:r>
            <w:rPr>
              <w:rFonts w:ascii="Garamond" w:hAnsi="Garamond"/>
              <w:b/>
              <w:sz w:val="16"/>
              <w:szCs w:val="16"/>
            </w:rPr>
            <w:br/>
          </w:r>
        </w:p>
        <w:p w14:paraId="2D7917BE" w14:textId="77777777" w:rsidR="007A6F53" w:rsidRDefault="007A6F53" w:rsidP="007A6F53">
          <w:pPr>
            <w:spacing w:after="0" w:line="240" w:lineRule="auto"/>
            <w:rPr>
              <w:rFonts w:ascii="Times New Roman" w:hAnsi="Times New Roman"/>
              <w:sz w:val="24"/>
              <w:szCs w:val="24"/>
            </w:rPr>
          </w:pPr>
        </w:p>
      </w:tc>
      <w:tc>
        <w:tcPr>
          <w:tcW w:w="2951" w:type="dxa"/>
          <w:tcBorders>
            <w:top w:val="single" w:sz="6" w:space="0" w:color="auto"/>
            <w:left w:val="single" w:sz="6" w:space="0" w:color="auto"/>
            <w:bottom w:val="nil"/>
            <w:right w:val="single" w:sz="6" w:space="0" w:color="auto"/>
          </w:tcBorders>
          <w:vAlign w:val="center"/>
          <w:hideMark/>
        </w:tcPr>
        <w:p w14:paraId="19908F98" w14:textId="77777777" w:rsidR="007A6F53" w:rsidRDefault="007A6F53" w:rsidP="007A6F53">
          <w:pPr>
            <w:spacing w:after="0" w:line="240" w:lineRule="auto"/>
            <w:jc w:val="center"/>
            <w:rPr>
              <w:b/>
              <w:bCs/>
              <w:sz w:val="18"/>
            </w:rPr>
          </w:pPr>
          <w:r>
            <w:rPr>
              <w:b/>
              <w:bCs/>
              <w:noProof/>
            </w:rPr>
            <w:t>Azienda Servizi pubblici S.p.A. (ASP)</w:t>
          </w:r>
        </w:p>
      </w:tc>
    </w:tr>
    <w:tr w:rsidR="007A6F53" w14:paraId="4FCFA066" w14:textId="77777777" w:rsidTr="007A6F53">
      <w:trPr>
        <w:cantSplit/>
        <w:trHeight w:val="719"/>
        <w:jc w:val="center"/>
      </w:trPr>
      <w:tc>
        <w:tcPr>
          <w:tcW w:w="2153" w:type="dxa"/>
          <w:vMerge/>
          <w:tcBorders>
            <w:top w:val="single" w:sz="6" w:space="0" w:color="auto"/>
            <w:left w:val="single" w:sz="6" w:space="0" w:color="auto"/>
            <w:bottom w:val="nil"/>
            <w:right w:val="single" w:sz="6" w:space="0" w:color="auto"/>
          </w:tcBorders>
          <w:vAlign w:val="center"/>
          <w:hideMark/>
        </w:tcPr>
        <w:p w14:paraId="3A8D1C91" w14:textId="77777777" w:rsidR="007A6F53" w:rsidRDefault="007A6F53" w:rsidP="007A6F53">
          <w:pPr>
            <w:rPr>
              <w:sz w:val="24"/>
              <w:szCs w:val="24"/>
            </w:rPr>
          </w:pPr>
        </w:p>
      </w:tc>
      <w:tc>
        <w:tcPr>
          <w:tcW w:w="4076" w:type="dxa"/>
          <w:vMerge/>
          <w:tcBorders>
            <w:top w:val="single" w:sz="4" w:space="0" w:color="auto"/>
            <w:left w:val="single" w:sz="6" w:space="0" w:color="auto"/>
            <w:bottom w:val="nil"/>
            <w:right w:val="nil"/>
          </w:tcBorders>
          <w:vAlign w:val="center"/>
          <w:hideMark/>
        </w:tcPr>
        <w:p w14:paraId="528DB700" w14:textId="77777777" w:rsidR="007A6F53" w:rsidRDefault="007A6F53" w:rsidP="007A6F53">
          <w:pPr>
            <w:spacing w:after="0" w:line="240" w:lineRule="auto"/>
            <w:rPr>
              <w:sz w:val="24"/>
              <w:szCs w:val="24"/>
            </w:rPr>
          </w:pPr>
        </w:p>
      </w:tc>
      <w:tc>
        <w:tcPr>
          <w:tcW w:w="2951" w:type="dxa"/>
          <w:tcBorders>
            <w:top w:val="single" w:sz="4" w:space="0" w:color="auto"/>
            <w:left w:val="single" w:sz="6" w:space="0" w:color="auto"/>
            <w:bottom w:val="nil"/>
            <w:right w:val="single" w:sz="6" w:space="0" w:color="auto"/>
          </w:tcBorders>
          <w:vAlign w:val="center"/>
          <w:hideMark/>
        </w:tcPr>
        <w:p w14:paraId="21B24A0D" w14:textId="77777777" w:rsidR="007A6F53" w:rsidRDefault="007A6F53" w:rsidP="007A6F53">
          <w:pPr>
            <w:spacing w:after="0" w:line="240" w:lineRule="auto"/>
            <w:jc w:val="center"/>
            <w:rPr>
              <w:b/>
              <w:sz w:val="18"/>
              <w:szCs w:val="18"/>
            </w:rPr>
          </w:pPr>
          <w:r>
            <w:rPr>
              <w:rFonts w:cs="Arial"/>
              <w:b/>
              <w:sz w:val="18"/>
              <w:szCs w:val="18"/>
            </w:rPr>
            <w:t>Approvato in data:</w:t>
          </w:r>
          <w:r>
            <w:rPr>
              <w:b/>
              <w:caps/>
              <w:sz w:val="18"/>
              <w:szCs w:val="18"/>
            </w:rPr>
            <w:t xml:space="preserve"> </w:t>
          </w:r>
        </w:p>
      </w:tc>
    </w:tr>
    <w:tr w:rsidR="007A6F53" w14:paraId="56F4EE17" w14:textId="77777777" w:rsidTr="007A6F53">
      <w:trPr>
        <w:cantSplit/>
        <w:trHeight w:val="65"/>
        <w:jc w:val="center"/>
      </w:trPr>
      <w:tc>
        <w:tcPr>
          <w:tcW w:w="6229" w:type="dxa"/>
          <w:gridSpan w:val="2"/>
          <w:tcBorders>
            <w:top w:val="single" w:sz="4" w:space="0" w:color="auto"/>
            <w:left w:val="single" w:sz="6" w:space="0" w:color="auto"/>
            <w:bottom w:val="single" w:sz="4" w:space="0" w:color="auto"/>
            <w:right w:val="nil"/>
          </w:tcBorders>
          <w:vAlign w:val="center"/>
        </w:tcPr>
        <w:p w14:paraId="6B49546D" w14:textId="77777777" w:rsidR="007A6F53" w:rsidRDefault="007A6F53" w:rsidP="007A6F53">
          <w:pPr>
            <w:spacing w:after="0" w:line="240" w:lineRule="auto"/>
            <w:rPr>
              <w:b/>
              <w:sz w:val="18"/>
              <w:szCs w:val="24"/>
            </w:rPr>
          </w:pPr>
        </w:p>
      </w:tc>
      <w:tc>
        <w:tcPr>
          <w:tcW w:w="2951" w:type="dxa"/>
          <w:tcBorders>
            <w:top w:val="single" w:sz="4" w:space="0" w:color="auto"/>
            <w:left w:val="single" w:sz="6" w:space="0" w:color="auto"/>
            <w:bottom w:val="single" w:sz="4" w:space="0" w:color="auto"/>
            <w:right w:val="single" w:sz="6" w:space="0" w:color="auto"/>
          </w:tcBorders>
          <w:vAlign w:val="center"/>
          <w:hideMark/>
        </w:tcPr>
        <w:p w14:paraId="7738BE99" w14:textId="77777777" w:rsidR="007A6F53" w:rsidRDefault="007A6F53" w:rsidP="007A6F53">
          <w:pPr>
            <w:spacing w:after="0" w:line="240" w:lineRule="auto"/>
            <w:jc w:val="center"/>
            <w:rPr>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6C8BA9D1" w14:textId="0711A965" w:rsidR="00FF6258" w:rsidRPr="007A6F53" w:rsidRDefault="00FF6258" w:rsidP="00FF6258">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D4106"/>
    <w:multiLevelType w:val="multilevel"/>
    <w:tmpl w:val="0F80F714"/>
    <w:lvl w:ilvl="0">
      <w:start w:val="1"/>
      <w:numFmt w:val="lowerLetter"/>
      <w:lvlText w:val="%1)"/>
      <w:lvlJc w:val="left"/>
      <w:pPr>
        <w:ind w:left="360" w:hanging="360"/>
      </w:pPr>
      <w:rPr>
        <w:rFonts w:ascii="Garamond" w:eastAsia="Garamond" w:hAnsi="Garamond" w:cs="Garamond"/>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 w15:restartNumberingAfterBreak="0">
    <w:nsid w:val="2ACC0B74"/>
    <w:multiLevelType w:val="hybridMultilevel"/>
    <w:tmpl w:val="2EAA9664"/>
    <w:lvl w:ilvl="0" w:tplc="6A06F34E">
      <w:numFmt w:val="bullet"/>
      <w:lvlText w:val="•"/>
      <w:lvlJc w:val="left"/>
      <w:pPr>
        <w:ind w:left="360" w:hanging="360"/>
      </w:pPr>
      <w:rPr>
        <w:rFonts w:ascii="Gotham Light" w:eastAsiaTheme="minorHAnsi" w:hAnsi="Gotham Light" w:cstheme="minorBidi"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2F021881"/>
    <w:multiLevelType w:val="multilevel"/>
    <w:tmpl w:val="797AD18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F30163"/>
    <w:multiLevelType w:val="multilevel"/>
    <w:tmpl w:val="0410001F"/>
    <w:lvl w:ilvl="0">
      <w:start w:val="1"/>
      <w:numFmt w:val="decimal"/>
      <w:lvlText w:val="%1."/>
      <w:lvlJc w:val="left"/>
      <w:pPr>
        <w:ind w:left="12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cs="Times New Roman"/>
        <w:b/>
        <w:color w:val="FF6600"/>
        <w:spacing w:val="20"/>
        <w:position w:val="0"/>
        <w:sz w:val="20"/>
        <w:szCs w:val="20"/>
      </w:rPr>
    </w:lvl>
    <w:lvl w:ilvl="1">
      <w:start w:val="1"/>
      <w:numFmt w:val="bullet"/>
      <w:lvlText w:val="-"/>
      <w:lvlJc w:val="left"/>
      <w:pPr>
        <w:tabs>
          <w:tab w:val="num" w:pos="720"/>
        </w:tabs>
        <w:ind w:left="1068" w:hanging="360"/>
      </w:pPr>
      <w:rPr>
        <w:rFonts w:ascii="Helvetica" w:hAnsi="Helvetica" w:cs="Times New Roman"/>
        <w:color w:val="FF6600"/>
        <w:sz w:val="20"/>
        <w:szCs w:val="20"/>
      </w:rPr>
    </w:lvl>
    <w:lvl w:ilvl="2">
      <w:start w:val="1"/>
      <w:numFmt w:val="bullet"/>
      <w:lvlText w:val="-"/>
      <w:lvlJc w:val="left"/>
      <w:pPr>
        <w:tabs>
          <w:tab w:val="num" w:pos="1080"/>
        </w:tabs>
        <w:ind w:left="1080" w:hanging="360"/>
      </w:pPr>
      <w:rPr>
        <w:rFonts w:ascii="Helvetica" w:hAnsi="Helvetica" w:cs="Times New Roman"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lvlText w:val="-"/>
      <w:lvlJc w:val="left"/>
      <w:pPr>
        <w:tabs>
          <w:tab w:val="num" w:pos="3240"/>
        </w:tabs>
        <w:ind w:left="3240" w:hanging="360"/>
      </w:pPr>
      <w:rPr>
        <w:rFonts w:ascii="Helvetica" w:hAnsi="Helvetica" w:hint="default"/>
        <w:color w:val="FF6600"/>
        <w:sz w:val="20"/>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55"/>
    <w:rsid w:val="00001B0C"/>
    <w:rsid w:val="00001C5C"/>
    <w:rsid w:val="000025AF"/>
    <w:rsid w:val="000025D4"/>
    <w:rsid w:val="00002AEF"/>
    <w:rsid w:val="000058DD"/>
    <w:rsid w:val="00006165"/>
    <w:rsid w:val="00010B85"/>
    <w:rsid w:val="00010CB4"/>
    <w:rsid w:val="000160D7"/>
    <w:rsid w:val="00017FD6"/>
    <w:rsid w:val="00022055"/>
    <w:rsid w:val="0002227E"/>
    <w:rsid w:val="00022E04"/>
    <w:rsid w:val="000249B8"/>
    <w:rsid w:val="00025E1E"/>
    <w:rsid w:val="0002707B"/>
    <w:rsid w:val="00027512"/>
    <w:rsid w:val="00027B70"/>
    <w:rsid w:val="000325F8"/>
    <w:rsid w:val="00037CA4"/>
    <w:rsid w:val="00042AED"/>
    <w:rsid w:val="000433DE"/>
    <w:rsid w:val="00043D24"/>
    <w:rsid w:val="00052EE3"/>
    <w:rsid w:val="00053DA1"/>
    <w:rsid w:val="0005488C"/>
    <w:rsid w:val="00054C91"/>
    <w:rsid w:val="00054EEE"/>
    <w:rsid w:val="00060286"/>
    <w:rsid w:val="0006069C"/>
    <w:rsid w:val="00061884"/>
    <w:rsid w:val="00063035"/>
    <w:rsid w:val="0006465D"/>
    <w:rsid w:val="00067406"/>
    <w:rsid w:val="00067495"/>
    <w:rsid w:val="000679AF"/>
    <w:rsid w:val="00071F91"/>
    <w:rsid w:val="000724A8"/>
    <w:rsid w:val="00072763"/>
    <w:rsid w:val="000741E1"/>
    <w:rsid w:val="0007477E"/>
    <w:rsid w:val="00075896"/>
    <w:rsid w:val="0008357E"/>
    <w:rsid w:val="00085CFD"/>
    <w:rsid w:val="00092E56"/>
    <w:rsid w:val="00094A0A"/>
    <w:rsid w:val="000A1128"/>
    <w:rsid w:val="000A3CCF"/>
    <w:rsid w:val="000A6FB5"/>
    <w:rsid w:val="000A7D61"/>
    <w:rsid w:val="000B04B6"/>
    <w:rsid w:val="000B1490"/>
    <w:rsid w:val="000B1B44"/>
    <w:rsid w:val="000B28E8"/>
    <w:rsid w:val="000B5169"/>
    <w:rsid w:val="000C5B94"/>
    <w:rsid w:val="000C7718"/>
    <w:rsid w:val="000D4DB6"/>
    <w:rsid w:val="000D7165"/>
    <w:rsid w:val="000D7800"/>
    <w:rsid w:val="000E19D6"/>
    <w:rsid w:val="000E2A7F"/>
    <w:rsid w:val="000E4981"/>
    <w:rsid w:val="000E662E"/>
    <w:rsid w:val="000E73E1"/>
    <w:rsid w:val="000E7D74"/>
    <w:rsid w:val="000F09D7"/>
    <w:rsid w:val="000F0BAD"/>
    <w:rsid w:val="000F1D05"/>
    <w:rsid w:val="001015AB"/>
    <w:rsid w:val="0010176D"/>
    <w:rsid w:val="0010211E"/>
    <w:rsid w:val="001170DA"/>
    <w:rsid w:val="0012219C"/>
    <w:rsid w:val="00130E13"/>
    <w:rsid w:val="00133181"/>
    <w:rsid w:val="00140BA2"/>
    <w:rsid w:val="0014194A"/>
    <w:rsid w:val="0015070B"/>
    <w:rsid w:val="00151942"/>
    <w:rsid w:val="00154CBE"/>
    <w:rsid w:val="0015511E"/>
    <w:rsid w:val="00155FF7"/>
    <w:rsid w:val="0015761B"/>
    <w:rsid w:val="00160D10"/>
    <w:rsid w:val="00161146"/>
    <w:rsid w:val="0016269E"/>
    <w:rsid w:val="0016557A"/>
    <w:rsid w:val="00166846"/>
    <w:rsid w:val="0016741F"/>
    <w:rsid w:val="0017127F"/>
    <w:rsid w:val="0017228D"/>
    <w:rsid w:val="0017243A"/>
    <w:rsid w:val="00172D38"/>
    <w:rsid w:val="0017500B"/>
    <w:rsid w:val="00176E40"/>
    <w:rsid w:val="00181A2C"/>
    <w:rsid w:val="00182CFD"/>
    <w:rsid w:val="00182F9B"/>
    <w:rsid w:val="001845CB"/>
    <w:rsid w:val="0019119F"/>
    <w:rsid w:val="00191B9C"/>
    <w:rsid w:val="00196D86"/>
    <w:rsid w:val="00197FD2"/>
    <w:rsid w:val="001A01AB"/>
    <w:rsid w:val="001A0C14"/>
    <w:rsid w:val="001A1031"/>
    <w:rsid w:val="001A1E72"/>
    <w:rsid w:val="001A3955"/>
    <w:rsid w:val="001A54A3"/>
    <w:rsid w:val="001A5823"/>
    <w:rsid w:val="001A7D9D"/>
    <w:rsid w:val="001A7FCA"/>
    <w:rsid w:val="001B0B6F"/>
    <w:rsid w:val="001B16A2"/>
    <w:rsid w:val="001B5BAF"/>
    <w:rsid w:val="001B629F"/>
    <w:rsid w:val="001B6389"/>
    <w:rsid w:val="001B7821"/>
    <w:rsid w:val="001B7913"/>
    <w:rsid w:val="001B7CE1"/>
    <w:rsid w:val="001C2C6C"/>
    <w:rsid w:val="001C5D9B"/>
    <w:rsid w:val="001C5E83"/>
    <w:rsid w:val="001C726E"/>
    <w:rsid w:val="001D0D2B"/>
    <w:rsid w:val="001D4519"/>
    <w:rsid w:val="001D4C5C"/>
    <w:rsid w:val="001D7EA6"/>
    <w:rsid w:val="001E190A"/>
    <w:rsid w:val="001E4113"/>
    <w:rsid w:val="001F17CC"/>
    <w:rsid w:val="001F2CB2"/>
    <w:rsid w:val="001F5ED1"/>
    <w:rsid w:val="001F6BF2"/>
    <w:rsid w:val="001F6C3B"/>
    <w:rsid w:val="001F7A7B"/>
    <w:rsid w:val="002018A1"/>
    <w:rsid w:val="0020328B"/>
    <w:rsid w:val="00203343"/>
    <w:rsid w:val="00203721"/>
    <w:rsid w:val="00204021"/>
    <w:rsid w:val="00206336"/>
    <w:rsid w:val="00212A66"/>
    <w:rsid w:val="00213070"/>
    <w:rsid w:val="00213531"/>
    <w:rsid w:val="0021402E"/>
    <w:rsid w:val="0021551C"/>
    <w:rsid w:val="002155C0"/>
    <w:rsid w:val="00217451"/>
    <w:rsid w:val="00221AA7"/>
    <w:rsid w:val="00223170"/>
    <w:rsid w:val="00223AF1"/>
    <w:rsid w:val="002277E4"/>
    <w:rsid w:val="00227F4B"/>
    <w:rsid w:val="0023222A"/>
    <w:rsid w:val="002330F9"/>
    <w:rsid w:val="00233433"/>
    <w:rsid w:val="00233B71"/>
    <w:rsid w:val="0023770D"/>
    <w:rsid w:val="00243360"/>
    <w:rsid w:val="002438F8"/>
    <w:rsid w:val="002441D4"/>
    <w:rsid w:val="00247C8B"/>
    <w:rsid w:val="002514CE"/>
    <w:rsid w:val="00254D9D"/>
    <w:rsid w:val="0026018D"/>
    <w:rsid w:val="002624C1"/>
    <w:rsid w:val="00262BCD"/>
    <w:rsid w:val="0027179C"/>
    <w:rsid w:val="00271E20"/>
    <w:rsid w:val="00272FFD"/>
    <w:rsid w:val="002758F7"/>
    <w:rsid w:val="00277A7F"/>
    <w:rsid w:val="00282A6A"/>
    <w:rsid w:val="0028349B"/>
    <w:rsid w:val="0028469B"/>
    <w:rsid w:val="00286990"/>
    <w:rsid w:val="0028721D"/>
    <w:rsid w:val="00290F9B"/>
    <w:rsid w:val="00292364"/>
    <w:rsid w:val="002932CA"/>
    <w:rsid w:val="00293A6B"/>
    <w:rsid w:val="002940F0"/>
    <w:rsid w:val="002945CA"/>
    <w:rsid w:val="00295637"/>
    <w:rsid w:val="002970FD"/>
    <w:rsid w:val="00297EBE"/>
    <w:rsid w:val="002A0C97"/>
    <w:rsid w:val="002A1110"/>
    <w:rsid w:val="002A4AF5"/>
    <w:rsid w:val="002A56C5"/>
    <w:rsid w:val="002A7816"/>
    <w:rsid w:val="002B03BC"/>
    <w:rsid w:val="002B68AE"/>
    <w:rsid w:val="002B6B89"/>
    <w:rsid w:val="002B6CBC"/>
    <w:rsid w:val="002C0704"/>
    <w:rsid w:val="002E5846"/>
    <w:rsid w:val="002E60FB"/>
    <w:rsid w:val="002E7EF5"/>
    <w:rsid w:val="002F0E83"/>
    <w:rsid w:val="002F1428"/>
    <w:rsid w:val="002F142F"/>
    <w:rsid w:val="002F3B7C"/>
    <w:rsid w:val="00300E66"/>
    <w:rsid w:val="00301610"/>
    <w:rsid w:val="00302CE4"/>
    <w:rsid w:val="00302F76"/>
    <w:rsid w:val="003052CB"/>
    <w:rsid w:val="00307EBA"/>
    <w:rsid w:val="0031536D"/>
    <w:rsid w:val="00323C95"/>
    <w:rsid w:val="00323D43"/>
    <w:rsid w:val="00324692"/>
    <w:rsid w:val="003250B3"/>
    <w:rsid w:val="003264DB"/>
    <w:rsid w:val="00333BD9"/>
    <w:rsid w:val="00334699"/>
    <w:rsid w:val="00336E66"/>
    <w:rsid w:val="00336F21"/>
    <w:rsid w:val="00345194"/>
    <w:rsid w:val="00346EE5"/>
    <w:rsid w:val="00347113"/>
    <w:rsid w:val="003509E7"/>
    <w:rsid w:val="00352EED"/>
    <w:rsid w:val="00353576"/>
    <w:rsid w:val="00355790"/>
    <w:rsid w:val="00356569"/>
    <w:rsid w:val="00357307"/>
    <w:rsid w:val="003733F1"/>
    <w:rsid w:val="00383A2B"/>
    <w:rsid w:val="00387745"/>
    <w:rsid w:val="00387EC8"/>
    <w:rsid w:val="003937EA"/>
    <w:rsid w:val="003A05F0"/>
    <w:rsid w:val="003A40AE"/>
    <w:rsid w:val="003A4175"/>
    <w:rsid w:val="003A4E23"/>
    <w:rsid w:val="003A5539"/>
    <w:rsid w:val="003B0AA8"/>
    <w:rsid w:val="003B2957"/>
    <w:rsid w:val="003B557F"/>
    <w:rsid w:val="003B6D5B"/>
    <w:rsid w:val="003B7FE6"/>
    <w:rsid w:val="003D057B"/>
    <w:rsid w:val="003D1464"/>
    <w:rsid w:val="003D368B"/>
    <w:rsid w:val="003D56D6"/>
    <w:rsid w:val="003D6E53"/>
    <w:rsid w:val="003E01DE"/>
    <w:rsid w:val="003E3052"/>
    <w:rsid w:val="003E7BEC"/>
    <w:rsid w:val="003F071C"/>
    <w:rsid w:val="003F32D3"/>
    <w:rsid w:val="003F3331"/>
    <w:rsid w:val="003F5E88"/>
    <w:rsid w:val="00401214"/>
    <w:rsid w:val="00405A38"/>
    <w:rsid w:val="00406400"/>
    <w:rsid w:val="00412815"/>
    <w:rsid w:val="004152C5"/>
    <w:rsid w:val="00421611"/>
    <w:rsid w:val="004218A4"/>
    <w:rsid w:val="00433380"/>
    <w:rsid w:val="004430C8"/>
    <w:rsid w:val="00445FD5"/>
    <w:rsid w:val="004542A4"/>
    <w:rsid w:val="0045474C"/>
    <w:rsid w:val="004564B4"/>
    <w:rsid w:val="00457A15"/>
    <w:rsid w:val="00464D4B"/>
    <w:rsid w:val="00466694"/>
    <w:rsid w:val="00466BF1"/>
    <w:rsid w:val="00470A39"/>
    <w:rsid w:val="0047153F"/>
    <w:rsid w:val="00474045"/>
    <w:rsid w:val="00474377"/>
    <w:rsid w:val="00476237"/>
    <w:rsid w:val="0047673A"/>
    <w:rsid w:val="00477D58"/>
    <w:rsid w:val="004821EA"/>
    <w:rsid w:val="00483395"/>
    <w:rsid w:val="00486943"/>
    <w:rsid w:val="00492686"/>
    <w:rsid w:val="00493C88"/>
    <w:rsid w:val="00496316"/>
    <w:rsid w:val="004A07D3"/>
    <w:rsid w:val="004A091F"/>
    <w:rsid w:val="004A0DBA"/>
    <w:rsid w:val="004A0F11"/>
    <w:rsid w:val="004A13FC"/>
    <w:rsid w:val="004A5501"/>
    <w:rsid w:val="004B116B"/>
    <w:rsid w:val="004B3DC5"/>
    <w:rsid w:val="004B7A72"/>
    <w:rsid w:val="004C09B2"/>
    <w:rsid w:val="004C2283"/>
    <w:rsid w:val="004C2C41"/>
    <w:rsid w:val="004C45E3"/>
    <w:rsid w:val="004C48A6"/>
    <w:rsid w:val="004C59EA"/>
    <w:rsid w:val="004C67D8"/>
    <w:rsid w:val="004E6247"/>
    <w:rsid w:val="004F33AD"/>
    <w:rsid w:val="004F4C27"/>
    <w:rsid w:val="004F4E68"/>
    <w:rsid w:val="004F6751"/>
    <w:rsid w:val="004F676D"/>
    <w:rsid w:val="005016B1"/>
    <w:rsid w:val="00502BFD"/>
    <w:rsid w:val="00505D7E"/>
    <w:rsid w:val="0050657D"/>
    <w:rsid w:val="00506E78"/>
    <w:rsid w:val="00507D36"/>
    <w:rsid w:val="00513382"/>
    <w:rsid w:val="00515ABD"/>
    <w:rsid w:val="00517F42"/>
    <w:rsid w:val="0052333A"/>
    <w:rsid w:val="005339BC"/>
    <w:rsid w:val="0053534C"/>
    <w:rsid w:val="0053537C"/>
    <w:rsid w:val="0053548A"/>
    <w:rsid w:val="00541D01"/>
    <w:rsid w:val="005428F6"/>
    <w:rsid w:val="00543381"/>
    <w:rsid w:val="0054352A"/>
    <w:rsid w:val="005436ED"/>
    <w:rsid w:val="00551077"/>
    <w:rsid w:val="0055130E"/>
    <w:rsid w:val="00552C38"/>
    <w:rsid w:val="005569CC"/>
    <w:rsid w:val="00563336"/>
    <w:rsid w:val="00564D93"/>
    <w:rsid w:val="00565D28"/>
    <w:rsid w:val="00567336"/>
    <w:rsid w:val="005745BB"/>
    <w:rsid w:val="005774A8"/>
    <w:rsid w:val="00580B82"/>
    <w:rsid w:val="0058459F"/>
    <w:rsid w:val="00594315"/>
    <w:rsid w:val="00594B27"/>
    <w:rsid w:val="0059714B"/>
    <w:rsid w:val="005A3A12"/>
    <w:rsid w:val="005A3B01"/>
    <w:rsid w:val="005A584D"/>
    <w:rsid w:val="005B271E"/>
    <w:rsid w:val="005B351B"/>
    <w:rsid w:val="005B3C5A"/>
    <w:rsid w:val="005B5B59"/>
    <w:rsid w:val="005B7E02"/>
    <w:rsid w:val="005C224B"/>
    <w:rsid w:val="005C6628"/>
    <w:rsid w:val="005C7730"/>
    <w:rsid w:val="005D1533"/>
    <w:rsid w:val="005D1692"/>
    <w:rsid w:val="005D6635"/>
    <w:rsid w:val="005D69C2"/>
    <w:rsid w:val="005D7F25"/>
    <w:rsid w:val="005E059D"/>
    <w:rsid w:val="005E3872"/>
    <w:rsid w:val="005E3CD9"/>
    <w:rsid w:val="005E70E4"/>
    <w:rsid w:val="005F23A4"/>
    <w:rsid w:val="005F6183"/>
    <w:rsid w:val="00604409"/>
    <w:rsid w:val="0060465A"/>
    <w:rsid w:val="00610B7C"/>
    <w:rsid w:val="00611E54"/>
    <w:rsid w:val="00614275"/>
    <w:rsid w:val="0062169D"/>
    <w:rsid w:val="006221D0"/>
    <w:rsid w:val="006231F7"/>
    <w:rsid w:val="00624C9A"/>
    <w:rsid w:val="00624FC1"/>
    <w:rsid w:val="006305C0"/>
    <w:rsid w:val="0064201E"/>
    <w:rsid w:val="006443CE"/>
    <w:rsid w:val="0064514A"/>
    <w:rsid w:val="00645FB6"/>
    <w:rsid w:val="00650CE1"/>
    <w:rsid w:val="006514B6"/>
    <w:rsid w:val="0065246B"/>
    <w:rsid w:val="00653350"/>
    <w:rsid w:val="00661413"/>
    <w:rsid w:val="0066152D"/>
    <w:rsid w:val="006622DC"/>
    <w:rsid w:val="006663D4"/>
    <w:rsid w:val="006666D1"/>
    <w:rsid w:val="00670033"/>
    <w:rsid w:val="00670464"/>
    <w:rsid w:val="00675129"/>
    <w:rsid w:val="00675A3A"/>
    <w:rsid w:val="00675D45"/>
    <w:rsid w:val="00685779"/>
    <w:rsid w:val="00690F7C"/>
    <w:rsid w:val="006919D3"/>
    <w:rsid w:val="006958CF"/>
    <w:rsid w:val="006A2411"/>
    <w:rsid w:val="006A33F5"/>
    <w:rsid w:val="006A3BF8"/>
    <w:rsid w:val="006B1B17"/>
    <w:rsid w:val="006B3D31"/>
    <w:rsid w:val="006B5CB1"/>
    <w:rsid w:val="006B769F"/>
    <w:rsid w:val="006B7E5D"/>
    <w:rsid w:val="006C02FE"/>
    <w:rsid w:val="006C10C9"/>
    <w:rsid w:val="006C1693"/>
    <w:rsid w:val="006C2E19"/>
    <w:rsid w:val="006C5D51"/>
    <w:rsid w:val="006C6D64"/>
    <w:rsid w:val="006C747F"/>
    <w:rsid w:val="006D3070"/>
    <w:rsid w:val="006D5D8A"/>
    <w:rsid w:val="006E1322"/>
    <w:rsid w:val="006E1E77"/>
    <w:rsid w:val="006E24CD"/>
    <w:rsid w:val="006E4223"/>
    <w:rsid w:val="006E6AD2"/>
    <w:rsid w:val="006E6E27"/>
    <w:rsid w:val="006F172B"/>
    <w:rsid w:val="006F3EC6"/>
    <w:rsid w:val="00700167"/>
    <w:rsid w:val="00702122"/>
    <w:rsid w:val="00702DA3"/>
    <w:rsid w:val="0070383A"/>
    <w:rsid w:val="007044D8"/>
    <w:rsid w:val="007072F3"/>
    <w:rsid w:val="00713FF8"/>
    <w:rsid w:val="00716C71"/>
    <w:rsid w:val="00721262"/>
    <w:rsid w:val="00725F7B"/>
    <w:rsid w:val="00726EC9"/>
    <w:rsid w:val="0072773C"/>
    <w:rsid w:val="007316E9"/>
    <w:rsid w:val="0073171A"/>
    <w:rsid w:val="00733CD9"/>
    <w:rsid w:val="0073614F"/>
    <w:rsid w:val="007361F2"/>
    <w:rsid w:val="0073712F"/>
    <w:rsid w:val="00737738"/>
    <w:rsid w:val="00737940"/>
    <w:rsid w:val="00737EA0"/>
    <w:rsid w:val="0074030C"/>
    <w:rsid w:val="00742AFF"/>
    <w:rsid w:val="00745D2A"/>
    <w:rsid w:val="007470E3"/>
    <w:rsid w:val="00755559"/>
    <w:rsid w:val="007558FD"/>
    <w:rsid w:val="007624FB"/>
    <w:rsid w:val="00762575"/>
    <w:rsid w:val="00772406"/>
    <w:rsid w:val="007753EC"/>
    <w:rsid w:val="0077634A"/>
    <w:rsid w:val="00777539"/>
    <w:rsid w:val="0078008A"/>
    <w:rsid w:val="00782CD8"/>
    <w:rsid w:val="0078761C"/>
    <w:rsid w:val="0078777E"/>
    <w:rsid w:val="0079191A"/>
    <w:rsid w:val="00792307"/>
    <w:rsid w:val="007928C4"/>
    <w:rsid w:val="007938E3"/>
    <w:rsid w:val="007A02E7"/>
    <w:rsid w:val="007A29C7"/>
    <w:rsid w:val="007A2D35"/>
    <w:rsid w:val="007A3F10"/>
    <w:rsid w:val="007A688B"/>
    <w:rsid w:val="007A6F53"/>
    <w:rsid w:val="007A7480"/>
    <w:rsid w:val="007B0C4C"/>
    <w:rsid w:val="007C3178"/>
    <w:rsid w:val="007C42F4"/>
    <w:rsid w:val="007D2971"/>
    <w:rsid w:val="007D4211"/>
    <w:rsid w:val="007D547F"/>
    <w:rsid w:val="007D54B2"/>
    <w:rsid w:val="007D5B5E"/>
    <w:rsid w:val="007D6E6F"/>
    <w:rsid w:val="007E0C61"/>
    <w:rsid w:val="007E236B"/>
    <w:rsid w:val="007E5363"/>
    <w:rsid w:val="007E53EC"/>
    <w:rsid w:val="007E557E"/>
    <w:rsid w:val="007E7CF5"/>
    <w:rsid w:val="007F4FFB"/>
    <w:rsid w:val="007F54A5"/>
    <w:rsid w:val="007F77E2"/>
    <w:rsid w:val="008021E8"/>
    <w:rsid w:val="00805E96"/>
    <w:rsid w:val="0081101B"/>
    <w:rsid w:val="0081155A"/>
    <w:rsid w:val="0081269F"/>
    <w:rsid w:val="00813E38"/>
    <w:rsid w:val="008145D5"/>
    <w:rsid w:val="008232C0"/>
    <w:rsid w:val="00826882"/>
    <w:rsid w:val="008272D6"/>
    <w:rsid w:val="00827DEA"/>
    <w:rsid w:val="00831C09"/>
    <w:rsid w:val="0083241D"/>
    <w:rsid w:val="00833A06"/>
    <w:rsid w:val="00833DDB"/>
    <w:rsid w:val="00835FA3"/>
    <w:rsid w:val="008368D3"/>
    <w:rsid w:val="00837D3F"/>
    <w:rsid w:val="00840906"/>
    <w:rsid w:val="00841FA5"/>
    <w:rsid w:val="00843C74"/>
    <w:rsid w:val="00846D0C"/>
    <w:rsid w:val="00851F44"/>
    <w:rsid w:val="00853CCB"/>
    <w:rsid w:val="0085569F"/>
    <w:rsid w:val="00857701"/>
    <w:rsid w:val="0086006E"/>
    <w:rsid w:val="00862C67"/>
    <w:rsid w:val="00870590"/>
    <w:rsid w:val="00872E41"/>
    <w:rsid w:val="00874953"/>
    <w:rsid w:val="00874A6B"/>
    <w:rsid w:val="00880D37"/>
    <w:rsid w:val="00882E52"/>
    <w:rsid w:val="00885224"/>
    <w:rsid w:val="008903E3"/>
    <w:rsid w:val="008A0BAE"/>
    <w:rsid w:val="008A2938"/>
    <w:rsid w:val="008A2E0A"/>
    <w:rsid w:val="008A36D2"/>
    <w:rsid w:val="008A3D40"/>
    <w:rsid w:val="008A4336"/>
    <w:rsid w:val="008A4453"/>
    <w:rsid w:val="008A7EAF"/>
    <w:rsid w:val="008B7C09"/>
    <w:rsid w:val="008C048E"/>
    <w:rsid w:val="008C0B63"/>
    <w:rsid w:val="008C123D"/>
    <w:rsid w:val="008C13FB"/>
    <w:rsid w:val="008C2112"/>
    <w:rsid w:val="008C4A14"/>
    <w:rsid w:val="008C53E0"/>
    <w:rsid w:val="008D09F4"/>
    <w:rsid w:val="008D0DF6"/>
    <w:rsid w:val="008D1040"/>
    <w:rsid w:val="008D13F4"/>
    <w:rsid w:val="008D789C"/>
    <w:rsid w:val="008D7FAD"/>
    <w:rsid w:val="008E0433"/>
    <w:rsid w:val="008E790C"/>
    <w:rsid w:val="008F20DD"/>
    <w:rsid w:val="009002F3"/>
    <w:rsid w:val="00902BD5"/>
    <w:rsid w:val="00903D7A"/>
    <w:rsid w:val="009042E3"/>
    <w:rsid w:val="0090439D"/>
    <w:rsid w:val="00906532"/>
    <w:rsid w:val="009105EC"/>
    <w:rsid w:val="00912A16"/>
    <w:rsid w:val="0091601F"/>
    <w:rsid w:val="00923C8B"/>
    <w:rsid w:val="00926664"/>
    <w:rsid w:val="00926C0D"/>
    <w:rsid w:val="00933F0C"/>
    <w:rsid w:val="009377E1"/>
    <w:rsid w:val="0094414E"/>
    <w:rsid w:val="00945F08"/>
    <w:rsid w:val="00953332"/>
    <w:rsid w:val="00953981"/>
    <w:rsid w:val="00955B51"/>
    <w:rsid w:val="00955F83"/>
    <w:rsid w:val="009560F1"/>
    <w:rsid w:val="00956D90"/>
    <w:rsid w:val="00960C0F"/>
    <w:rsid w:val="00963106"/>
    <w:rsid w:val="0096571D"/>
    <w:rsid w:val="009709FD"/>
    <w:rsid w:val="00971B21"/>
    <w:rsid w:val="009742AF"/>
    <w:rsid w:val="00975520"/>
    <w:rsid w:val="00980413"/>
    <w:rsid w:val="00980785"/>
    <w:rsid w:val="009816AD"/>
    <w:rsid w:val="00982083"/>
    <w:rsid w:val="009841EC"/>
    <w:rsid w:val="009846AC"/>
    <w:rsid w:val="0099274C"/>
    <w:rsid w:val="009960B0"/>
    <w:rsid w:val="009A0DBD"/>
    <w:rsid w:val="009A31B3"/>
    <w:rsid w:val="009A38CC"/>
    <w:rsid w:val="009B01AA"/>
    <w:rsid w:val="009B3A6A"/>
    <w:rsid w:val="009B4EBE"/>
    <w:rsid w:val="009B6ABB"/>
    <w:rsid w:val="009C43B9"/>
    <w:rsid w:val="009C5CD5"/>
    <w:rsid w:val="009C62A9"/>
    <w:rsid w:val="009C6674"/>
    <w:rsid w:val="009C745C"/>
    <w:rsid w:val="009D1B65"/>
    <w:rsid w:val="009D40BE"/>
    <w:rsid w:val="009D4C1D"/>
    <w:rsid w:val="009D5033"/>
    <w:rsid w:val="009D68B4"/>
    <w:rsid w:val="009D7EDF"/>
    <w:rsid w:val="009E144E"/>
    <w:rsid w:val="009E189A"/>
    <w:rsid w:val="009E3E39"/>
    <w:rsid w:val="009E4522"/>
    <w:rsid w:val="009E4A24"/>
    <w:rsid w:val="009E526D"/>
    <w:rsid w:val="009E7187"/>
    <w:rsid w:val="009E7686"/>
    <w:rsid w:val="009F1DAA"/>
    <w:rsid w:val="009F4C0D"/>
    <w:rsid w:val="00A01D27"/>
    <w:rsid w:val="00A02D19"/>
    <w:rsid w:val="00A10DB1"/>
    <w:rsid w:val="00A119EA"/>
    <w:rsid w:val="00A13A56"/>
    <w:rsid w:val="00A16D6D"/>
    <w:rsid w:val="00A17573"/>
    <w:rsid w:val="00A24167"/>
    <w:rsid w:val="00A26D98"/>
    <w:rsid w:val="00A34EE5"/>
    <w:rsid w:val="00A35BF2"/>
    <w:rsid w:val="00A36180"/>
    <w:rsid w:val="00A374D5"/>
    <w:rsid w:val="00A40B44"/>
    <w:rsid w:val="00A41113"/>
    <w:rsid w:val="00A425E3"/>
    <w:rsid w:val="00A4310F"/>
    <w:rsid w:val="00A47C8A"/>
    <w:rsid w:val="00A50867"/>
    <w:rsid w:val="00A50B13"/>
    <w:rsid w:val="00A50FD4"/>
    <w:rsid w:val="00A51877"/>
    <w:rsid w:val="00A51FEA"/>
    <w:rsid w:val="00A541AE"/>
    <w:rsid w:val="00A64E97"/>
    <w:rsid w:val="00A66893"/>
    <w:rsid w:val="00A66D16"/>
    <w:rsid w:val="00A72544"/>
    <w:rsid w:val="00A74C4C"/>
    <w:rsid w:val="00A7500C"/>
    <w:rsid w:val="00A75850"/>
    <w:rsid w:val="00A80488"/>
    <w:rsid w:val="00A813B8"/>
    <w:rsid w:val="00A94EC9"/>
    <w:rsid w:val="00A957E8"/>
    <w:rsid w:val="00AA1910"/>
    <w:rsid w:val="00AA39FC"/>
    <w:rsid w:val="00AA3A2E"/>
    <w:rsid w:val="00AA4048"/>
    <w:rsid w:val="00AA4264"/>
    <w:rsid w:val="00AA55C6"/>
    <w:rsid w:val="00AA7883"/>
    <w:rsid w:val="00AB218F"/>
    <w:rsid w:val="00AB51EE"/>
    <w:rsid w:val="00AB5FC2"/>
    <w:rsid w:val="00AB6C88"/>
    <w:rsid w:val="00AC034A"/>
    <w:rsid w:val="00AC2BD5"/>
    <w:rsid w:val="00AC3057"/>
    <w:rsid w:val="00AC6544"/>
    <w:rsid w:val="00AD3BBC"/>
    <w:rsid w:val="00AD4BE0"/>
    <w:rsid w:val="00AD6E90"/>
    <w:rsid w:val="00AD6F94"/>
    <w:rsid w:val="00AE0D5F"/>
    <w:rsid w:val="00AE34F5"/>
    <w:rsid w:val="00AF357A"/>
    <w:rsid w:val="00AF49BE"/>
    <w:rsid w:val="00AF52E8"/>
    <w:rsid w:val="00AF58D9"/>
    <w:rsid w:val="00B00FE1"/>
    <w:rsid w:val="00B013A2"/>
    <w:rsid w:val="00B05EC4"/>
    <w:rsid w:val="00B06422"/>
    <w:rsid w:val="00B070C0"/>
    <w:rsid w:val="00B1023E"/>
    <w:rsid w:val="00B1282E"/>
    <w:rsid w:val="00B12A61"/>
    <w:rsid w:val="00B149B1"/>
    <w:rsid w:val="00B150FE"/>
    <w:rsid w:val="00B21FFC"/>
    <w:rsid w:val="00B22A28"/>
    <w:rsid w:val="00B23D5A"/>
    <w:rsid w:val="00B3111A"/>
    <w:rsid w:val="00B345BC"/>
    <w:rsid w:val="00B37FF2"/>
    <w:rsid w:val="00B42817"/>
    <w:rsid w:val="00B54325"/>
    <w:rsid w:val="00B550FA"/>
    <w:rsid w:val="00B55A1F"/>
    <w:rsid w:val="00B5716B"/>
    <w:rsid w:val="00B6007D"/>
    <w:rsid w:val="00B61E2E"/>
    <w:rsid w:val="00B7074D"/>
    <w:rsid w:val="00B71915"/>
    <w:rsid w:val="00B72593"/>
    <w:rsid w:val="00B7707D"/>
    <w:rsid w:val="00B806D5"/>
    <w:rsid w:val="00B84645"/>
    <w:rsid w:val="00B85BE0"/>
    <w:rsid w:val="00B8699A"/>
    <w:rsid w:val="00B92C14"/>
    <w:rsid w:val="00B94479"/>
    <w:rsid w:val="00B9567B"/>
    <w:rsid w:val="00B95DCE"/>
    <w:rsid w:val="00B96F2E"/>
    <w:rsid w:val="00BA0DA6"/>
    <w:rsid w:val="00BA5559"/>
    <w:rsid w:val="00BA79C1"/>
    <w:rsid w:val="00BB0CF1"/>
    <w:rsid w:val="00BB1F9B"/>
    <w:rsid w:val="00BB43E5"/>
    <w:rsid w:val="00BB4474"/>
    <w:rsid w:val="00BB4DD5"/>
    <w:rsid w:val="00BC3854"/>
    <w:rsid w:val="00BC38FD"/>
    <w:rsid w:val="00BC47E9"/>
    <w:rsid w:val="00BC6CD3"/>
    <w:rsid w:val="00BD0954"/>
    <w:rsid w:val="00BD4FD2"/>
    <w:rsid w:val="00BD58A4"/>
    <w:rsid w:val="00BE3031"/>
    <w:rsid w:val="00BE330A"/>
    <w:rsid w:val="00BE49E7"/>
    <w:rsid w:val="00BE6F35"/>
    <w:rsid w:val="00C01FA1"/>
    <w:rsid w:val="00C03357"/>
    <w:rsid w:val="00C05796"/>
    <w:rsid w:val="00C06475"/>
    <w:rsid w:val="00C10C6E"/>
    <w:rsid w:val="00C16467"/>
    <w:rsid w:val="00C16800"/>
    <w:rsid w:val="00C1794F"/>
    <w:rsid w:val="00C179FD"/>
    <w:rsid w:val="00C20CE8"/>
    <w:rsid w:val="00C21AE1"/>
    <w:rsid w:val="00C24EFF"/>
    <w:rsid w:val="00C25C65"/>
    <w:rsid w:val="00C26B6D"/>
    <w:rsid w:val="00C27C56"/>
    <w:rsid w:val="00C326BE"/>
    <w:rsid w:val="00C446AA"/>
    <w:rsid w:val="00C46829"/>
    <w:rsid w:val="00C50F6A"/>
    <w:rsid w:val="00C53E85"/>
    <w:rsid w:val="00C5464F"/>
    <w:rsid w:val="00C57B17"/>
    <w:rsid w:val="00C76C59"/>
    <w:rsid w:val="00C81740"/>
    <w:rsid w:val="00C82160"/>
    <w:rsid w:val="00C854F8"/>
    <w:rsid w:val="00C87E81"/>
    <w:rsid w:val="00C925D5"/>
    <w:rsid w:val="00C93418"/>
    <w:rsid w:val="00C93954"/>
    <w:rsid w:val="00C93CD2"/>
    <w:rsid w:val="00C9537E"/>
    <w:rsid w:val="00C97B25"/>
    <w:rsid w:val="00CA59C1"/>
    <w:rsid w:val="00CA6CCA"/>
    <w:rsid w:val="00CB4BBF"/>
    <w:rsid w:val="00CB7666"/>
    <w:rsid w:val="00CC35E8"/>
    <w:rsid w:val="00CD0BE1"/>
    <w:rsid w:val="00CD1017"/>
    <w:rsid w:val="00CF06DE"/>
    <w:rsid w:val="00CF2E12"/>
    <w:rsid w:val="00CF7AB1"/>
    <w:rsid w:val="00D01A1F"/>
    <w:rsid w:val="00D04687"/>
    <w:rsid w:val="00D06BBF"/>
    <w:rsid w:val="00D12AE6"/>
    <w:rsid w:val="00D12CAC"/>
    <w:rsid w:val="00D22EAA"/>
    <w:rsid w:val="00D263A1"/>
    <w:rsid w:val="00D27583"/>
    <w:rsid w:val="00D30A6C"/>
    <w:rsid w:val="00D33F5F"/>
    <w:rsid w:val="00D34EAB"/>
    <w:rsid w:val="00D35193"/>
    <w:rsid w:val="00D35F57"/>
    <w:rsid w:val="00D36B4A"/>
    <w:rsid w:val="00D41F5E"/>
    <w:rsid w:val="00D43D88"/>
    <w:rsid w:val="00D442CE"/>
    <w:rsid w:val="00D44A7C"/>
    <w:rsid w:val="00D45911"/>
    <w:rsid w:val="00D467D8"/>
    <w:rsid w:val="00D51123"/>
    <w:rsid w:val="00D51AB9"/>
    <w:rsid w:val="00D54E57"/>
    <w:rsid w:val="00D571BB"/>
    <w:rsid w:val="00D57B3D"/>
    <w:rsid w:val="00D611D6"/>
    <w:rsid w:val="00D61B3B"/>
    <w:rsid w:val="00D6613A"/>
    <w:rsid w:val="00D72951"/>
    <w:rsid w:val="00D736A8"/>
    <w:rsid w:val="00D73EE2"/>
    <w:rsid w:val="00D742EF"/>
    <w:rsid w:val="00D76CF1"/>
    <w:rsid w:val="00D77512"/>
    <w:rsid w:val="00D77F34"/>
    <w:rsid w:val="00D84479"/>
    <w:rsid w:val="00D87DE5"/>
    <w:rsid w:val="00D90522"/>
    <w:rsid w:val="00D91154"/>
    <w:rsid w:val="00D96BE9"/>
    <w:rsid w:val="00DA0E4C"/>
    <w:rsid w:val="00DA283D"/>
    <w:rsid w:val="00DB27CC"/>
    <w:rsid w:val="00DB4612"/>
    <w:rsid w:val="00DB4D7A"/>
    <w:rsid w:val="00DB5807"/>
    <w:rsid w:val="00DC272D"/>
    <w:rsid w:val="00DC5B75"/>
    <w:rsid w:val="00DC7469"/>
    <w:rsid w:val="00DD2D0C"/>
    <w:rsid w:val="00DD5431"/>
    <w:rsid w:val="00DD5637"/>
    <w:rsid w:val="00DD5BC6"/>
    <w:rsid w:val="00DE0726"/>
    <w:rsid w:val="00DE6EEA"/>
    <w:rsid w:val="00DF00DD"/>
    <w:rsid w:val="00DF3521"/>
    <w:rsid w:val="00DF7088"/>
    <w:rsid w:val="00DF70EA"/>
    <w:rsid w:val="00E03BEF"/>
    <w:rsid w:val="00E03DD2"/>
    <w:rsid w:val="00E06ABC"/>
    <w:rsid w:val="00E06EDE"/>
    <w:rsid w:val="00E14384"/>
    <w:rsid w:val="00E145BC"/>
    <w:rsid w:val="00E14CC5"/>
    <w:rsid w:val="00E15291"/>
    <w:rsid w:val="00E21296"/>
    <w:rsid w:val="00E24C9C"/>
    <w:rsid w:val="00E2514C"/>
    <w:rsid w:val="00E2700E"/>
    <w:rsid w:val="00E358EA"/>
    <w:rsid w:val="00E409F9"/>
    <w:rsid w:val="00E41F63"/>
    <w:rsid w:val="00E432A0"/>
    <w:rsid w:val="00E44522"/>
    <w:rsid w:val="00E446E7"/>
    <w:rsid w:val="00E45499"/>
    <w:rsid w:val="00E525C7"/>
    <w:rsid w:val="00E53CCC"/>
    <w:rsid w:val="00E55989"/>
    <w:rsid w:val="00E572C8"/>
    <w:rsid w:val="00E61CEE"/>
    <w:rsid w:val="00E6510F"/>
    <w:rsid w:val="00E65CEC"/>
    <w:rsid w:val="00E67128"/>
    <w:rsid w:val="00E7378D"/>
    <w:rsid w:val="00E755DC"/>
    <w:rsid w:val="00E75A45"/>
    <w:rsid w:val="00E761DA"/>
    <w:rsid w:val="00E76D76"/>
    <w:rsid w:val="00E809FC"/>
    <w:rsid w:val="00E80B72"/>
    <w:rsid w:val="00E8173A"/>
    <w:rsid w:val="00E82FE5"/>
    <w:rsid w:val="00E879E3"/>
    <w:rsid w:val="00E91627"/>
    <w:rsid w:val="00E926A4"/>
    <w:rsid w:val="00E93B56"/>
    <w:rsid w:val="00E95DCD"/>
    <w:rsid w:val="00E95E27"/>
    <w:rsid w:val="00EA3A80"/>
    <w:rsid w:val="00EA4CE4"/>
    <w:rsid w:val="00EA6B3C"/>
    <w:rsid w:val="00EB7709"/>
    <w:rsid w:val="00EC1228"/>
    <w:rsid w:val="00EC33B4"/>
    <w:rsid w:val="00EC433B"/>
    <w:rsid w:val="00EC4513"/>
    <w:rsid w:val="00EC49DB"/>
    <w:rsid w:val="00EC6C7F"/>
    <w:rsid w:val="00EC76A3"/>
    <w:rsid w:val="00ED0C29"/>
    <w:rsid w:val="00ED18CB"/>
    <w:rsid w:val="00ED2467"/>
    <w:rsid w:val="00EE03FC"/>
    <w:rsid w:val="00EE16E7"/>
    <w:rsid w:val="00EE4637"/>
    <w:rsid w:val="00EE4C8D"/>
    <w:rsid w:val="00EF1504"/>
    <w:rsid w:val="00EF2C23"/>
    <w:rsid w:val="00EF473C"/>
    <w:rsid w:val="00EF6711"/>
    <w:rsid w:val="00EF6DC8"/>
    <w:rsid w:val="00EF6F96"/>
    <w:rsid w:val="00F06023"/>
    <w:rsid w:val="00F0662C"/>
    <w:rsid w:val="00F06955"/>
    <w:rsid w:val="00F10597"/>
    <w:rsid w:val="00F1595E"/>
    <w:rsid w:val="00F23C53"/>
    <w:rsid w:val="00F24D32"/>
    <w:rsid w:val="00F25CA1"/>
    <w:rsid w:val="00F26490"/>
    <w:rsid w:val="00F27A35"/>
    <w:rsid w:val="00F30CD3"/>
    <w:rsid w:val="00F34FEA"/>
    <w:rsid w:val="00F40E2C"/>
    <w:rsid w:val="00F41F4C"/>
    <w:rsid w:val="00F42F16"/>
    <w:rsid w:val="00F459E8"/>
    <w:rsid w:val="00F47130"/>
    <w:rsid w:val="00F47596"/>
    <w:rsid w:val="00F524BA"/>
    <w:rsid w:val="00F54011"/>
    <w:rsid w:val="00F55625"/>
    <w:rsid w:val="00F55B1F"/>
    <w:rsid w:val="00F57F0D"/>
    <w:rsid w:val="00F60EEE"/>
    <w:rsid w:val="00F6479D"/>
    <w:rsid w:val="00F64A7C"/>
    <w:rsid w:val="00F66583"/>
    <w:rsid w:val="00F67258"/>
    <w:rsid w:val="00F67C27"/>
    <w:rsid w:val="00F80F18"/>
    <w:rsid w:val="00F84899"/>
    <w:rsid w:val="00F85845"/>
    <w:rsid w:val="00F91345"/>
    <w:rsid w:val="00FA22B4"/>
    <w:rsid w:val="00FA6155"/>
    <w:rsid w:val="00FB079D"/>
    <w:rsid w:val="00FB1881"/>
    <w:rsid w:val="00FB403B"/>
    <w:rsid w:val="00FB789D"/>
    <w:rsid w:val="00FC28FC"/>
    <w:rsid w:val="00FC2DB2"/>
    <w:rsid w:val="00FC5840"/>
    <w:rsid w:val="00FD25D7"/>
    <w:rsid w:val="00FD3562"/>
    <w:rsid w:val="00FD3CA5"/>
    <w:rsid w:val="00FD4979"/>
    <w:rsid w:val="00FD5A3F"/>
    <w:rsid w:val="00FD5E48"/>
    <w:rsid w:val="00FD7DC6"/>
    <w:rsid w:val="00FE0508"/>
    <w:rsid w:val="00FF5654"/>
    <w:rsid w:val="00FF6258"/>
    <w:rsid w:val="00FF6D9F"/>
    <w:rsid w:val="00FF7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5DBD2"/>
  <w15:docId w15:val="{9DE2ECBD-E996-4FCB-8266-22B96DD3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55C6"/>
  </w:style>
  <w:style w:type="paragraph" w:styleId="Titolo1">
    <w:name w:val="heading 1"/>
    <w:basedOn w:val="Normale"/>
    <w:next w:val="Normale"/>
    <w:link w:val="Titolo1Carattere"/>
    <w:uiPriority w:val="9"/>
    <w:qFormat/>
    <w:rsid w:val="00E41F63"/>
    <w:pPr>
      <w:keepNext/>
      <w:keepLines/>
      <w:spacing w:before="480" w:after="0"/>
      <w:outlineLvl w:val="0"/>
    </w:pPr>
    <w:rPr>
      <w:rFonts w:ascii="Gotham Light" w:eastAsiaTheme="majorEastAsia" w:hAnsi="Gotham Light" w:cstheme="majorBidi"/>
      <w:b/>
      <w:bCs/>
      <w:sz w:val="28"/>
      <w:szCs w:val="28"/>
    </w:rPr>
  </w:style>
  <w:style w:type="paragraph" w:styleId="Titolo2">
    <w:name w:val="heading 2"/>
    <w:basedOn w:val="Normale"/>
    <w:next w:val="Normale"/>
    <w:link w:val="Titolo2Carattere"/>
    <w:uiPriority w:val="9"/>
    <w:unhideWhenUsed/>
    <w:qFormat/>
    <w:rsid w:val="00E41F63"/>
    <w:pPr>
      <w:keepNext/>
      <w:keepLines/>
      <w:spacing w:before="200" w:after="0"/>
      <w:outlineLvl w:val="1"/>
    </w:pPr>
    <w:rPr>
      <w:rFonts w:ascii="Gotham Light" w:eastAsiaTheme="majorEastAsia" w:hAnsi="Gotham Light" w:cstheme="majorBidi"/>
      <w:b/>
      <w:bCs/>
      <w:sz w:val="24"/>
      <w:szCs w:val="26"/>
    </w:rPr>
  </w:style>
  <w:style w:type="paragraph" w:styleId="Titolo3">
    <w:name w:val="heading 3"/>
    <w:basedOn w:val="Normale"/>
    <w:next w:val="Normale"/>
    <w:link w:val="Titolo3Carattere"/>
    <w:uiPriority w:val="9"/>
    <w:unhideWhenUsed/>
    <w:qFormat/>
    <w:rsid w:val="009D4C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E572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4A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A7C"/>
  </w:style>
  <w:style w:type="paragraph" w:styleId="Pidipagina">
    <w:name w:val="footer"/>
    <w:basedOn w:val="Normale"/>
    <w:link w:val="PidipaginaCarattere"/>
    <w:uiPriority w:val="99"/>
    <w:unhideWhenUsed/>
    <w:rsid w:val="00F64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A7C"/>
  </w:style>
  <w:style w:type="paragraph" w:styleId="Testofumetto">
    <w:name w:val="Balloon Text"/>
    <w:basedOn w:val="Normale"/>
    <w:link w:val="TestofumettoCarattere"/>
    <w:uiPriority w:val="99"/>
    <w:semiHidden/>
    <w:unhideWhenUsed/>
    <w:rsid w:val="00F64A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A7C"/>
    <w:rPr>
      <w:rFonts w:ascii="Tahoma" w:hAnsi="Tahoma" w:cs="Tahoma"/>
      <w:sz w:val="16"/>
      <w:szCs w:val="16"/>
    </w:rPr>
  </w:style>
  <w:style w:type="character" w:customStyle="1" w:styleId="TitoloNormale">
    <w:name w:val="Titolo Normale"/>
    <w:rsid w:val="00E41F63"/>
    <w:rPr>
      <w:rFonts w:ascii="Helvetica" w:hAnsi="Helvetica"/>
      <w:bCs/>
      <w:color w:val="F58025"/>
      <w:sz w:val="32"/>
    </w:rPr>
  </w:style>
  <w:style w:type="character" w:customStyle="1" w:styleId="Sottotitolonormale">
    <w:name w:val="Sottotitolo normale"/>
    <w:rsid w:val="00E41F63"/>
    <w:rPr>
      <w:rFonts w:ascii="Helvetica" w:hAnsi="Helvetica"/>
      <w:bCs/>
      <w:color w:val="808080"/>
      <w:sz w:val="28"/>
    </w:rPr>
  </w:style>
  <w:style w:type="character" w:customStyle="1" w:styleId="Titolo1Carattere">
    <w:name w:val="Titolo 1 Carattere"/>
    <w:basedOn w:val="Carpredefinitoparagrafo"/>
    <w:link w:val="Titolo1"/>
    <w:uiPriority w:val="9"/>
    <w:rsid w:val="00E41F63"/>
    <w:rPr>
      <w:rFonts w:ascii="Gotham Light" w:eastAsiaTheme="majorEastAsia" w:hAnsi="Gotham Light" w:cstheme="majorBidi"/>
      <w:b/>
      <w:bCs/>
      <w:sz w:val="28"/>
      <w:szCs w:val="28"/>
    </w:rPr>
  </w:style>
  <w:style w:type="paragraph" w:styleId="Titolosommario">
    <w:name w:val="TOC Heading"/>
    <w:basedOn w:val="Titolo1"/>
    <w:next w:val="Normale"/>
    <w:uiPriority w:val="39"/>
    <w:unhideWhenUsed/>
    <w:qFormat/>
    <w:rsid w:val="00E41F63"/>
    <w:pPr>
      <w:outlineLvl w:val="9"/>
    </w:pPr>
    <w:rPr>
      <w:lang w:eastAsia="it-IT"/>
    </w:rPr>
  </w:style>
  <w:style w:type="paragraph" w:styleId="Paragrafoelenco">
    <w:name w:val="List Paragraph"/>
    <w:basedOn w:val="Normale"/>
    <w:uiPriority w:val="34"/>
    <w:qFormat/>
    <w:rsid w:val="00E41F63"/>
    <w:pPr>
      <w:ind w:left="720"/>
      <w:contextualSpacing/>
    </w:pPr>
  </w:style>
  <w:style w:type="character" w:customStyle="1" w:styleId="Titolo2Carattere">
    <w:name w:val="Titolo 2 Carattere"/>
    <w:basedOn w:val="Carpredefinitoparagrafo"/>
    <w:link w:val="Titolo2"/>
    <w:uiPriority w:val="9"/>
    <w:rsid w:val="00E41F63"/>
    <w:rPr>
      <w:rFonts w:ascii="Gotham Light" w:eastAsiaTheme="majorEastAsia" w:hAnsi="Gotham Light" w:cstheme="majorBidi"/>
      <w:b/>
      <w:bCs/>
      <w:sz w:val="24"/>
      <w:szCs w:val="26"/>
    </w:rPr>
  </w:style>
  <w:style w:type="paragraph" w:styleId="Sommario1">
    <w:name w:val="toc 1"/>
    <w:basedOn w:val="Normale"/>
    <w:next w:val="Normale"/>
    <w:autoRedefine/>
    <w:uiPriority w:val="39"/>
    <w:unhideWhenUsed/>
    <w:rsid w:val="00191B9C"/>
    <w:pPr>
      <w:spacing w:after="100"/>
    </w:pPr>
  </w:style>
  <w:style w:type="paragraph" w:styleId="Sommario2">
    <w:name w:val="toc 2"/>
    <w:basedOn w:val="Normale"/>
    <w:next w:val="Normale"/>
    <w:autoRedefine/>
    <w:uiPriority w:val="39"/>
    <w:unhideWhenUsed/>
    <w:rsid w:val="00191B9C"/>
    <w:pPr>
      <w:spacing w:after="100"/>
      <w:ind w:left="220"/>
    </w:pPr>
  </w:style>
  <w:style w:type="character" w:styleId="Collegamentoipertestuale">
    <w:name w:val="Hyperlink"/>
    <w:basedOn w:val="Carpredefinitoparagrafo"/>
    <w:uiPriority w:val="99"/>
    <w:unhideWhenUsed/>
    <w:rsid w:val="00191B9C"/>
    <w:rPr>
      <w:color w:val="0000FF" w:themeColor="hyperlink"/>
      <w:u w:val="single"/>
    </w:rPr>
  </w:style>
  <w:style w:type="paragraph" w:customStyle="1" w:styleId="Corpodeltesto1">
    <w:name w:val="Corpo del testo 1"/>
    <w:basedOn w:val="Normale"/>
    <w:link w:val="Corpodeltesto1Carattere"/>
    <w:rsid w:val="00191B9C"/>
    <w:pPr>
      <w:spacing w:after="0" w:line="360" w:lineRule="auto"/>
      <w:jc w:val="both"/>
    </w:pPr>
    <w:rPr>
      <w:rFonts w:ascii="Helvetica" w:eastAsia="Times New Roman" w:hAnsi="Helvetica" w:cs="Times New Roman"/>
      <w:sz w:val="20"/>
      <w:szCs w:val="20"/>
      <w:lang w:eastAsia="it-IT"/>
    </w:rPr>
  </w:style>
  <w:style w:type="character" w:customStyle="1" w:styleId="Corpodeltesto1Carattere">
    <w:name w:val="Corpo del testo 1 Carattere"/>
    <w:link w:val="Corpodeltesto1"/>
    <w:rsid w:val="00191B9C"/>
    <w:rPr>
      <w:rFonts w:ascii="Helvetica" w:eastAsia="Times New Roman" w:hAnsi="Helvetica" w:cs="Times New Roman"/>
      <w:sz w:val="20"/>
      <w:szCs w:val="20"/>
      <w:lang w:eastAsia="it-IT"/>
    </w:rPr>
  </w:style>
  <w:style w:type="character" w:customStyle="1" w:styleId="Titolo4Carattere">
    <w:name w:val="Titolo 4 Carattere"/>
    <w:basedOn w:val="Carpredefinitoparagrafo"/>
    <w:link w:val="Titolo4"/>
    <w:uiPriority w:val="9"/>
    <w:semiHidden/>
    <w:rsid w:val="00E572C8"/>
    <w:rPr>
      <w:rFonts w:asciiTheme="majorHAnsi" w:eastAsiaTheme="majorEastAsia" w:hAnsiTheme="majorHAnsi" w:cstheme="majorBidi"/>
      <w:i/>
      <w:iCs/>
      <w:color w:val="365F91" w:themeColor="accent1" w:themeShade="BF"/>
    </w:rPr>
  </w:style>
  <w:style w:type="paragraph" w:customStyle="1" w:styleId="Stile4">
    <w:name w:val="Stile4"/>
    <w:basedOn w:val="Numeroelenco"/>
    <w:qFormat/>
    <w:rsid w:val="00E572C8"/>
    <w:pPr>
      <w:spacing w:after="120" w:line="360" w:lineRule="auto"/>
      <w:contextualSpacing w:val="0"/>
    </w:pPr>
    <w:rPr>
      <w:rFonts w:ascii="Helvetica Neue Light" w:eastAsia="Times New Roman" w:hAnsi="Helvetica Neue Light" w:cs="Helvetica Neue Light"/>
      <w:b/>
      <w:lang w:eastAsia="it-IT"/>
    </w:rPr>
  </w:style>
  <w:style w:type="paragraph" w:styleId="Numeroelenco">
    <w:name w:val="List Number"/>
    <w:basedOn w:val="Normale"/>
    <w:uiPriority w:val="99"/>
    <w:semiHidden/>
    <w:unhideWhenUsed/>
    <w:rsid w:val="00E572C8"/>
    <w:pPr>
      <w:ind w:left="502" w:hanging="360"/>
      <w:contextualSpacing/>
    </w:pPr>
  </w:style>
  <w:style w:type="numbering" w:customStyle="1" w:styleId="Puntoelenco1">
    <w:name w:val="Punto elenco 1"/>
    <w:rsid w:val="00025E1E"/>
    <w:pPr>
      <w:numPr>
        <w:numId w:val="2"/>
      </w:numPr>
    </w:pPr>
  </w:style>
  <w:style w:type="character" w:customStyle="1" w:styleId="Titolo3Carattere">
    <w:name w:val="Titolo 3 Carattere"/>
    <w:basedOn w:val="Carpredefinitoparagrafo"/>
    <w:link w:val="Titolo3"/>
    <w:uiPriority w:val="9"/>
    <w:rsid w:val="009D4C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Carpredefinitoparagrafo"/>
    <w:rsid w:val="009D4C1D"/>
  </w:style>
  <w:style w:type="table" w:styleId="Grigliatabella">
    <w:name w:val="Table Grid"/>
    <w:basedOn w:val="Tabellanormale"/>
    <w:uiPriority w:val="59"/>
    <w:rsid w:val="00D0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03D7A"/>
    <w:pPr>
      <w:spacing w:before="60" w:after="6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03D7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903D7A"/>
    <w:rPr>
      <w:vertAlign w:val="superscript"/>
    </w:rPr>
  </w:style>
  <w:style w:type="character" w:customStyle="1" w:styleId="CorpotestoCarattere">
    <w:name w:val="Corpo testo Carattere"/>
    <w:aliases w:val="Corpo del testo Carattere,Carattere Carattere"/>
    <w:basedOn w:val="Carpredefinitoparagrafo"/>
    <w:link w:val="Corpotesto"/>
    <w:locked/>
    <w:rsid w:val="00903D7A"/>
    <w:rPr>
      <w:sz w:val="24"/>
      <w:szCs w:val="24"/>
    </w:rPr>
  </w:style>
  <w:style w:type="paragraph" w:styleId="Corpotesto">
    <w:name w:val="Body Text"/>
    <w:aliases w:val="Corpo del testo,Carattere"/>
    <w:basedOn w:val="Normale"/>
    <w:link w:val="CorpotestoCarattere"/>
    <w:unhideWhenUsed/>
    <w:rsid w:val="00903D7A"/>
    <w:pPr>
      <w:spacing w:after="120" w:line="240" w:lineRule="auto"/>
    </w:pPr>
    <w:rPr>
      <w:sz w:val="24"/>
      <w:szCs w:val="24"/>
    </w:rPr>
  </w:style>
  <w:style w:type="character" w:customStyle="1" w:styleId="CorpotestoCarattere1">
    <w:name w:val="Corpo testo Carattere1"/>
    <w:basedOn w:val="Carpredefinitoparagrafo"/>
    <w:uiPriority w:val="99"/>
    <w:semiHidden/>
    <w:rsid w:val="00903D7A"/>
  </w:style>
  <w:style w:type="paragraph" w:styleId="Sommario3">
    <w:name w:val="toc 3"/>
    <w:basedOn w:val="Normale"/>
    <w:next w:val="Normale"/>
    <w:autoRedefine/>
    <w:uiPriority w:val="39"/>
    <w:unhideWhenUsed/>
    <w:rsid w:val="00445FD5"/>
    <w:pPr>
      <w:tabs>
        <w:tab w:val="left" w:pos="1100"/>
        <w:tab w:val="right" w:pos="9140"/>
      </w:tabs>
      <w:spacing w:after="100"/>
      <w:ind w:left="440"/>
    </w:pPr>
    <w:rPr>
      <w:rFonts w:ascii="Gotham Light" w:eastAsia="Times New Roman" w:hAnsi="Gotham Light" w:cs="Times New Roman"/>
      <w:b/>
      <w:bCs/>
      <w:noProof/>
    </w:rPr>
  </w:style>
  <w:style w:type="character" w:styleId="Rimandocommento">
    <w:name w:val="annotation reference"/>
    <w:basedOn w:val="Carpredefinitoparagrafo"/>
    <w:uiPriority w:val="99"/>
    <w:semiHidden/>
    <w:unhideWhenUsed/>
    <w:rsid w:val="00EF473C"/>
    <w:rPr>
      <w:sz w:val="16"/>
      <w:szCs w:val="16"/>
    </w:rPr>
  </w:style>
  <w:style w:type="paragraph" w:styleId="Testocommento">
    <w:name w:val="annotation text"/>
    <w:basedOn w:val="Normale"/>
    <w:link w:val="TestocommentoCarattere"/>
    <w:uiPriority w:val="99"/>
    <w:semiHidden/>
    <w:unhideWhenUsed/>
    <w:rsid w:val="00EF47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473C"/>
    <w:rPr>
      <w:sz w:val="20"/>
      <w:szCs w:val="20"/>
    </w:rPr>
  </w:style>
  <w:style w:type="paragraph" w:styleId="Soggettocommento">
    <w:name w:val="annotation subject"/>
    <w:basedOn w:val="Testocommento"/>
    <w:next w:val="Testocommento"/>
    <w:link w:val="SoggettocommentoCarattere"/>
    <w:uiPriority w:val="99"/>
    <w:semiHidden/>
    <w:unhideWhenUsed/>
    <w:rsid w:val="00EF473C"/>
    <w:rPr>
      <w:b/>
      <w:bCs/>
    </w:rPr>
  </w:style>
  <w:style w:type="character" w:customStyle="1" w:styleId="SoggettocommentoCarattere">
    <w:name w:val="Soggetto commento Carattere"/>
    <w:basedOn w:val="TestocommentoCarattere"/>
    <w:link w:val="Soggettocommento"/>
    <w:uiPriority w:val="99"/>
    <w:semiHidden/>
    <w:rsid w:val="00EF473C"/>
    <w:rPr>
      <w:b/>
      <w:bCs/>
      <w:sz w:val="20"/>
      <w:szCs w:val="20"/>
    </w:rPr>
  </w:style>
  <w:style w:type="character" w:styleId="Collegamentovisitato">
    <w:name w:val="FollowedHyperlink"/>
    <w:basedOn w:val="Carpredefinitoparagrafo"/>
    <w:uiPriority w:val="99"/>
    <w:semiHidden/>
    <w:unhideWhenUsed/>
    <w:rsid w:val="008C1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5089">
      <w:bodyDiv w:val="1"/>
      <w:marLeft w:val="0"/>
      <w:marRight w:val="0"/>
      <w:marTop w:val="0"/>
      <w:marBottom w:val="0"/>
      <w:divBdr>
        <w:top w:val="none" w:sz="0" w:space="0" w:color="auto"/>
        <w:left w:val="none" w:sz="0" w:space="0" w:color="auto"/>
        <w:bottom w:val="none" w:sz="0" w:space="0" w:color="auto"/>
        <w:right w:val="none" w:sz="0" w:space="0" w:color="auto"/>
      </w:divBdr>
    </w:div>
    <w:div w:id="152573634">
      <w:bodyDiv w:val="1"/>
      <w:marLeft w:val="0"/>
      <w:marRight w:val="0"/>
      <w:marTop w:val="0"/>
      <w:marBottom w:val="0"/>
      <w:divBdr>
        <w:top w:val="none" w:sz="0" w:space="0" w:color="auto"/>
        <w:left w:val="none" w:sz="0" w:space="0" w:color="auto"/>
        <w:bottom w:val="none" w:sz="0" w:space="0" w:color="auto"/>
        <w:right w:val="none" w:sz="0" w:space="0" w:color="auto"/>
      </w:divBdr>
    </w:div>
    <w:div w:id="193815750">
      <w:bodyDiv w:val="1"/>
      <w:marLeft w:val="0"/>
      <w:marRight w:val="0"/>
      <w:marTop w:val="0"/>
      <w:marBottom w:val="0"/>
      <w:divBdr>
        <w:top w:val="none" w:sz="0" w:space="0" w:color="auto"/>
        <w:left w:val="none" w:sz="0" w:space="0" w:color="auto"/>
        <w:bottom w:val="none" w:sz="0" w:space="0" w:color="auto"/>
        <w:right w:val="none" w:sz="0" w:space="0" w:color="auto"/>
      </w:divBdr>
    </w:div>
    <w:div w:id="230046930">
      <w:bodyDiv w:val="1"/>
      <w:marLeft w:val="0"/>
      <w:marRight w:val="0"/>
      <w:marTop w:val="0"/>
      <w:marBottom w:val="0"/>
      <w:divBdr>
        <w:top w:val="none" w:sz="0" w:space="0" w:color="auto"/>
        <w:left w:val="none" w:sz="0" w:space="0" w:color="auto"/>
        <w:bottom w:val="none" w:sz="0" w:space="0" w:color="auto"/>
        <w:right w:val="none" w:sz="0" w:space="0" w:color="auto"/>
      </w:divBdr>
    </w:div>
    <w:div w:id="263153677">
      <w:bodyDiv w:val="1"/>
      <w:marLeft w:val="0"/>
      <w:marRight w:val="0"/>
      <w:marTop w:val="0"/>
      <w:marBottom w:val="0"/>
      <w:divBdr>
        <w:top w:val="none" w:sz="0" w:space="0" w:color="auto"/>
        <w:left w:val="none" w:sz="0" w:space="0" w:color="auto"/>
        <w:bottom w:val="none" w:sz="0" w:space="0" w:color="auto"/>
        <w:right w:val="none" w:sz="0" w:space="0" w:color="auto"/>
      </w:divBdr>
    </w:div>
    <w:div w:id="446890974">
      <w:bodyDiv w:val="1"/>
      <w:marLeft w:val="0"/>
      <w:marRight w:val="0"/>
      <w:marTop w:val="0"/>
      <w:marBottom w:val="0"/>
      <w:divBdr>
        <w:top w:val="none" w:sz="0" w:space="0" w:color="auto"/>
        <w:left w:val="none" w:sz="0" w:space="0" w:color="auto"/>
        <w:bottom w:val="none" w:sz="0" w:space="0" w:color="auto"/>
        <w:right w:val="none" w:sz="0" w:space="0" w:color="auto"/>
      </w:divBdr>
    </w:div>
    <w:div w:id="473059335">
      <w:bodyDiv w:val="1"/>
      <w:marLeft w:val="0"/>
      <w:marRight w:val="0"/>
      <w:marTop w:val="0"/>
      <w:marBottom w:val="0"/>
      <w:divBdr>
        <w:top w:val="none" w:sz="0" w:space="0" w:color="auto"/>
        <w:left w:val="none" w:sz="0" w:space="0" w:color="auto"/>
        <w:bottom w:val="none" w:sz="0" w:space="0" w:color="auto"/>
        <w:right w:val="none" w:sz="0" w:space="0" w:color="auto"/>
      </w:divBdr>
    </w:div>
    <w:div w:id="532498751">
      <w:bodyDiv w:val="1"/>
      <w:marLeft w:val="0"/>
      <w:marRight w:val="0"/>
      <w:marTop w:val="0"/>
      <w:marBottom w:val="0"/>
      <w:divBdr>
        <w:top w:val="none" w:sz="0" w:space="0" w:color="auto"/>
        <w:left w:val="none" w:sz="0" w:space="0" w:color="auto"/>
        <w:bottom w:val="none" w:sz="0" w:space="0" w:color="auto"/>
        <w:right w:val="none" w:sz="0" w:space="0" w:color="auto"/>
      </w:divBdr>
    </w:div>
    <w:div w:id="546570444">
      <w:bodyDiv w:val="1"/>
      <w:marLeft w:val="0"/>
      <w:marRight w:val="0"/>
      <w:marTop w:val="0"/>
      <w:marBottom w:val="0"/>
      <w:divBdr>
        <w:top w:val="none" w:sz="0" w:space="0" w:color="auto"/>
        <w:left w:val="none" w:sz="0" w:space="0" w:color="auto"/>
        <w:bottom w:val="none" w:sz="0" w:space="0" w:color="auto"/>
        <w:right w:val="none" w:sz="0" w:space="0" w:color="auto"/>
      </w:divBdr>
    </w:div>
    <w:div w:id="597904240">
      <w:bodyDiv w:val="1"/>
      <w:marLeft w:val="0"/>
      <w:marRight w:val="0"/>
      <w:marTop w:val="0"/>
      <w:marBottom w:val="0"/>
      <w:divBdr>
        <w:top w:val="none" w:sz="0" w:space="0" w:color="auto"/>
        <w:left w:val="none" w:sz="0" w:space="0" w:color="auto"/>
        <w:bottom w:val="none" w:sz="0" w:space="0" w:color="auto"/>
        <w:right w:val="none" w:sz="0" w:space="0" w:color="auto"/>
      </w:divBdr>
    </w:div>
    <w:div w:id="607467030">
      <w:bodyDiv w:val="1"/>
      <w:marLeft w:val="0"/>
      <w:marRight w:val="0"/>
      <w:marTop w:val="0"/>
      <w:marBottom w:val="0"/>
      <w:divBdr>
        <w:top w:val="none" w:sz="0" w:space="0" w:color="auto"/>
        <w:left w:val="none" w:sz="0" w:space="0" w:color="auto"/>
        <w:bottom w:val="none" w:sz="0" w:space="0" w:color="auto"/>
        <w:right w:val="none" w:sz="0" w:space="0" w:color="auto"/>
      </w:divBdr>
    </w:div>
    <w:div w:id="711153144">
      <w:bodyDiv w:val="1"/>
      <w:marLeft w:val="0"/>
      <w:marRight w:val="0"/>
      <w:marTop w:val="0"/>
      <w:marBottom w:val="0"/>
      <w:divBdr>
        <w:top w:val="none" w:sz="0" w:space="0" w:color="auto"/>
        <w:left w:val="none" w:sz="0" w:space="0" w:color="auto"/>
        <w:bottom w:val="none" w:sz="0" w:space="0" w:color="auto"/>
        <w:right w:val="none" w:sz="0" w:space="0" w:color="auto"/>
      </w:divBdr>
    </w:div>
    <w:div w:id="781995790">
      <w:bodyDiv w:val="1"/>
      <w:marLeft w:val="0"/>
      <w:marRight w:val="0"/>
      <w:marTop w:val="0"/>
      <w:marBottom w:val="0"/>
      <w:divBdr>
        <w:top w:val="none" w:sz="0" w:space="0" w:color="auto"/>
        <w:left w:val="none" w:sz="0" w:space="0" w:color="auto"/>
        <w:bottom w:val="none" w:sz="0" w:space="0" w:color="auto"/>
        <w:right w:val="none" w:sz="0" w:space="0" w:color="auto"/>
      </w:divBdr>
    </w:div>
    <w:div w:id="853350532">
      <w:bodyDiv w:val="1"/>
      <w:marLeft w:val="0"/>
      <w:marRight w:val="0"/>
      <w:marTop w:val="0"/>
      <w:marBottom w:val="0"/>
      <w:divBdr>
        <w:top w:val="none" w:sz="0" w:space="0" w:color="auto"/>
        <w:left w:val="none" w:sz="0" w:space="0" w:color="auto"/>
        <w:bottom w:val="none" w:sz="0" w:space="0" w:color="auto"/>
        <w:right w:val="none" w:sz="0" w:space="0" w:color="auto"/>
      </w:divBdr>
    </w:div>
    <w:div w:id="1001664605">
      <w:bodyDiv w:val="1"/>
      <w:marLeft w:val="0"/>
      <w:marRight w:val="0"/>
      <w:marTop w:val="0"/>
      <w:marBottom w:val="0"/>
      <w:divBdr>
        <w:top w:val="none" w:sz="0" w:space="0" w:color="auto"/>
        <w:left w:val="none" w:sz="0" w:space="0" w:color="auto"/>
        <w:bottom w:val="none" w:sz="0" w:space="0" w:color="auto"/>
        <w:right w:val="none" w:sz="0" w:space="0" w:color="auto"/>
      </w:divBdr>
      <w:divsChild>
        <w:div w:id="986084411">
          <w:marLeft w:val="0"/>
          <w:marRight w:val="0"/>
          <w:marTop w:val="450"/>
          <w:marBottom w:val="0"/>
          <w:divBdr>
            <w:top w:val="none" w:sz="0" w:space="0" w:color="auto"/>
            <w:left w:val="none" w:sz="0" w:space="0" w:color="auto"/>
            <w:bottom w:val="none" w:sz="0" w:space="0" w:color="auto"/>
            <w:right w:val="none" w:sz="0" w:space="0" w:color="auto"/>
          </w:divBdr>
          <w:divsChild>
            <w:div w:id="1579441098">
              <w:marLeft w:val="0"/>
              <w:marRight w:val="0"/>
              <w:marTop w:val="0"/>
              <w:marBottom w:val="0"/>
              <w:divBdr>
                <w:top w:val="none" w:sz="0" w:space="0" w:color="auto"/>
                <w:left w:val="none" w:sz="0" w:space="0" w:color="auto"/>
                <w:bottom w:val="none" w:sz="0" w:space="0" w:color="auto"/>
                <w:right w:val="none" w:sz="0" w:space="0" w:color="auto"/>
              </w:divBdr>
              <w:divsChild>
                <w:div w:id="575634430">
                  <w:marLeft w:val="0"/>
                  <w:marRight w:val="0"/>
                  <w:marTop w:val="0"/>
                  <w:marBottom w:val="0"/>
                  <w:divBdr>
                    <w:top w:val="none" w:sz="0" w:space="0" w:color="auto"/>
                    <w:left w:val="none" w:sz="0" w:space="0" w:color="auto"/>
                    <w:bottom w:val="none" w:sz="0" w:space="0" w:color="auto"/>
                    <w:right w:val="none" w:sz="0" w:space="0" w:color="auto"/>
                  </w:divBdr>
                </w:div>
              </w:divsChild>
            </w:div>
            <w:div w:id="343439495">
              <w:marLeft w:val="0"/>
              <w:marRight w:val="0"/>
              <w:marTop w:val="0"/>
              <w:marBottom w:val="0"/>
              <w:divBdr>
                <w:top w:val="none" w:sz="0" w:space="0" w:color="auto"/>
                <w:left w:val="none" w:sz="0" w:space="0" w:color="auto"/>
                <w:bottom w:val="none" w:sz="0" w:space="0" w:color="auto"/>
                <w:right w:val="none" w:sz="0" w:space="0" w:color="auto"/>
              </w:divBdr>
              <w:divsChild>
                <w:div w:id="61099401">
                  <w:marLeft w:val="0"/>
                  <w:marRight w:val="0"/>
                  <w:marTop w:val="0"/>
                  <w:marBottom w:val="0"/>
                  <w:divBdr>
                    <w:top w:val="none" w:sz="0" w:space="0" w:color="auto"/>
                    <w:left w:val="none" w:sz="0" w:space="0" w:color="auto"/>
                    <w:bottom w:val="none" w:sz="0" w:space="0" w:color="auto"/>
                    <w:right w:val="none" w:sz="0" w:space="0" w:color="auto"/>
                  </w:divBdr>
                </w:div>
              </w:divsChild>
            </w:div>
            <w:div w:id="2147241000">
              <w:marLeft w:val="0"/>
              <w:marRight w:val="0"/>
              <w:marTop w:val="0"/>
              <w:marBottom w:val="0"/>
              <w:divBdr>
                <w:top w:val="none" w:sz="0" w:space="0" w:color="auto"/>
                <w:left w:val="none" w:sz="0" w:space="0" w:color="auto"/>
                <w:bottom w:val="none" w:sz="0" w:space="0" w:color="auto"/>
                <w:right w:val="none" w:sz="0" w:space="0" w:color="auto"/>
              </w:divBdr>
            </w:div>
            <w:div w:id="1035351561">
              <w:marLeft w:val="0"/>
              <w:marRight w:val="0"/>
              <w:marTop w:val="0"/>
              <w:marBottom w:val="0"/>
              <w:divBdr>
                <w:top w:val="none" w:sz="0" w:space="0" w:color="auto"/>
                <w:left w:val="none" w:sz="0" w:space="0" w:color="auto"/>
                <w:bottom w:val="none" w:sz="0" w:space="0" w:color="auto"/>
                <w:right w:val="none" w:sz="0" w:space="0" w:color="auto"/>
              </w:divBdr>
              <w:divsChild>
                <w:div w:id="786588320">
                  <w:marLeft w:val="0"/>
                  <w:marRight w:val="0"/>
                  <w:marTop w:val="0"/>
                  <w:marBottom w:val="0"/>
                  <w:divBdr>
                    <w:top w:val="none" w:sz="0" w:space="0" w:color="auto"/>
                    <w:left w:val="none" w:sz="0" w:space="0" w:color="auto"/>
                    <w:bottom w:val="none" w:sz="0" w:space="0" w:color="auto"/>
                    <w:right w:val="none" w:sz="0" w:space="0" w:color="auto"/>
                  </w:divBdr>
                </w:div>
              </w:divsChild>
            </w:div>
            <w:div w:id="282008457">
              <w:marLeft w:val="0"/>
              <w:marRight w:val="0"/>
              <w:marTop w:val="0"/>
              <w:marBottom w:val="0"/>
              <w:divBdr>
                <w:top w:val="none" w:sz="0" w:space="0" w:color="auto"/>
                <w:left w:val="none" w:sz="0" w:space="0" w:color="auto"/>
                <w:bottom w:val="none" w:sz="0" w:space="0" w:color="auto"/>
                <w:right w:val="none" w:sz="0" w:space="0" w:color="auto"/>
              </w:divBdr>
            </w:div>
            <w:div w:id="550770684">
              <w:marLeft w:val="0"/>
              <w:marRight w:val="0"/>
              <w:marTop w:val="0"/>
              <w:marBottom w:val="0"/>
              <w:divBdr>
                <w:top w:val="none" w:sz="0" w:space="0" w:color="auto"/>
                <w:left w:val="none" w:sz="0" w:space="0" w:color="auto"/>
                <w:bottom w:val="none" w:sz="0" w:space="0" w:color="auto"/>
                <w:right w:val="none" w:sz="0" w:space="0" w:color="auto"/>
              </w:divBdr>
              <w:divsChild>
                <w:div w:id="1990329265">
                  <w:marLeft w:val="0"/>
                  <w:marRight w:val="0"/>
                  <w:marTop w:val="0"/>
                  <w:marBottom w:val="0"/>
                  <w:divBdr>
                    <w:top w:val="none" w:sz="0" w:space="0" w:color="auto"/>
                    <w:left w:val="none" w:sz="0" w:space="0" w:color="auto"/>
                    <w:bottom w:val="none" w:sz="0" w:space="0" w:color="auto"/>
                    <w:right w:val="none" w:sz="0" w:space="0" w:color="auto"/>
                  </w:divBdr>
                </w:div>
              </w:divsChild>
            </w:div>
            <w:div w:id="1428307477">
              <w:marLeft w:val="0"/>
              <w:marRight w:val="0"/>
              <w:marTop w:val="0"/>
              <w:marBottom w:val="0"/>
              <w:divBdr>
                <w:top w:val="none" w:sz="0" w:space="0" w:color="auto"/>
                <w:left w:val="none" w:sz="0" w:space="0" w:color="auto"/>
                <w:bottom w:val="none" w:sz="0" w:space="0" w:color="auto"/>
                <w:right w:val="none" w:sz="0" w:space="0" w:color="auto"/>
              </w:divBdr>
              <w:divsChild>
                <w:div w:id="632058807">
                  <w:marLeft w:val="0"/>
                  <w:marRight w:val="0"/>
                  <w:marTop w:val="0"/>
                  <w:marBottom w:val="0"/>
                  <w:divBdr>
                    <w:top w:val="none" w:sz="0" w:space="0" w:color="auto"/>
                    <w:left w:val="none" w:sz="0" w:space="0" w:color="auto"/>
                    <w:bottom w:val="none" w:sz="0" w:space="0" w:color="auto"/>
                    <w:right w:val="none" w:sz="0" w:space="0" w:color="auto"/>
                  </w:divBdr>
                </w:div>
              </w:divsChild>
            </w:div>
            <w:div w:id="1382628512">
              <w:marLeft w:val="0"/>
              <w:marRight w:val="0"/>
              <w:marTop w:val="0"/>
              <w:marBottom w:val="0"/>
              <w:divBdr>
                <w:top w:val="none" w:sz="0" w:space="0" w:color="auto"/>
                <w:left w:val="none" w:sz="0" w:space="0" w:color="auto"/>
                <w:bottom w:val="none" w:sz="0" w:space="0" w:color="auto"/>
                <w:right w:val="none" w:sz="0" w:space="0" w:color="auto"/>
              </w:divBdr>
            </w:div>
            <w:div w:id="522744394">
              <w:marLeft w:val="0"/>
              <w:marRight w:val="0"/>
              <w:marTop w:val="0"/>
              <w:marBottom w:val="0"/>
              <w:divBdr>
                <w:top w:val="none" w:sz="0" w:space="0" w:color="auto"/>
                <w:left w:val="none" w:sz="0" w:space="0" w:color="auto"/>
                <w:bottom w:val="none" w:sz="0" w:space="0" w:color="auto"/>
                <w:right w:val="none" w:sz="0" w:space="0" w:color="auto"/>
              </w:divBdr>
              <w:divsChild>
                <w:div w:id="1527216080">
                  <w:marLeft w:val="0"/>
                  <w:marRight w:val="0"/>
                  <w:marTop w:val="0"/>
                  <w:marBottom w:val="0"/>
                  <w:divBdr>
                    <w:top w:val="none" w:sz="0" w:space="0" w:color="auto"/>
                    <w:left w:val="none" w:sz="0" w:space="0" w:color="auto"/>
                    <w:bottom w:val="none" w:sz="0" w:space="0" w:color="auto"/>
                    <w:right w:val="none" w:sz="0" w:space="0" w:color="auto"/>
                  </w:divBdr>
                </w:div>
              </w:divsChild>
            </w:div>
            <w:div w:id="506755132">
              <w:marLeft w:val="0"/>
              <w:marRight w:val="0"/>
              <w:marTop w:val="0"/>
              <w:marBottom w:val="0"/>
              <w:divBdr>
                <w:top w:val="none" w:sz="0" w:space="0" w:color="auto"/>
                <w:left w:val="none" w:sz="0" w:space="0" w:color="auto"/>
                <w:bottom w:val="none" w:sz="0" w:space="0" w:color="auto"/>
                <w:right w:val="none" w:sz="0" w:space="0" w:color="auto"/>
              </w:divBdr>
            </w:div>
            <w:div w:id="1104155916">
              <w:marLeft w:val="0"/>
              <w:marRight w:val="0"/>
              <w:marTop w:val="0"/>
              <w:marBottom w:val="0"/>
              <w:divBdr>
                <w:top w:val="none" w:sz="0" w:space="0" w:color="auto"/>
                <w:left w:val="none" w:sz="0" w:space="0" w:color="auto"/>
                <w:bottom w:val="none" w:sz="0" w:space="0" w:color="auto"/>
                <w:right w:val="none" w:sz="0" w:space="0" w:color="auto"/>
              </w:divBdr>
            </w:div>
            <w:div w:id="1977560194">
              <w:marLeft w:val="0"/>
              <w:marRight w:val="0"/>
              <w:marTop w:val="0"/>
              <w:marBottom w:val="0"/>
              <w:divBdr>
                <w:top w:val="none" w:sz="0" w:space="0" w:color="auto"/>
                <w:left w:val="none" w:sz="0" w:space="0" w:color="auto"/>
                <w:bottom w:val="none" w:sz="0" w:space="0" w:color="auto"/>
                <w:right w:val="none" w:sz="0" w:space="0" w:color="auto"/>
              </w:divBdr>
            </w:div>
            <w:div w:id="155270225">
              <w:marLeft w:val="0"/>
              <w:marRight w:val="0"/>
              <w:marTop w:val="0"/>
              <w:marBottom w:val="0"/>
              <w:divBdr>
                <w:top w:val="none" w:sz="0" w:space="0" w:color="auto"/>
                <w:left w:val="none" w:sz="0" w:space="0" w:color="auto"/>
                <w:bottom w:val="none" w:sz="0" w:space="0" w:color="auto"/>
                <w:right w:val="none" w:sz="0" w:space="0" w:color="auto"/>
              </w:divBdr>
              <w:divsChild>
                <w:div w:id="388308577">
                  <w:marLeft w:val="0"/>
                  <w:marRight w:val="0"/>
                  <w:marTop w:val="0"/>
                  <w:marBottom w:val="0"/>
                  <w:divBdr>
                    <w:top w:val="none" w:sz="0" w:space="0" w:color="auto"/>
                    <w:left w:val="none" w:sz="0" w:space="0" w:color="auto"/>
                    <w:bottom w:val="none" w:sz="0" w:space="0" w:color="auto"/>
                    <w:right w:val="none" w:sz="0" w:space="0" w:color="auto"/>
                  </w:divBdr>
                </w:div>
              </w:divsChild>
            </w:div>
            <w:div w:id="2080319284">
              <w:marLeft w:val="0"/>
              <w:marRight w:val="0"/>
              <w:marTop w:val="0"/>
              <w:marBottom w:val="0"/>
              <w:divBdr>
                <w:top w:val="none" w:sz="0" w:space="0" w:color="auto"/>
                <w:left w:val="none" w:sz="0" w:space="0" w:color="auto"/>
                <w:bottom w:val="none" w:sz="0" w:space="0" w:color="auto"/>
                <w:right w:val="none" w:sz="0" w:space="0" w:color="auto"/>
              </w:divBdr>
            </w:div>
            <w:div w:id="216403824">
              <w:marLeft w:val="0"/>
              <w:marRight w:val="0"/>
              <w:marTop w:val="0"/>
              <w:marBottom w:val="0"/>
              <w:divBdr>
                <w:top w:val="none" w:sz="0" w:space="0" w:color="auto"/>
                <w:left w:val="none" w:sz="0" w:space="0" w:color="auto"/>
                <w:bottom w:val="none" w:sz="0" w:space="0" w:color="auto"/>
                <w:right w:val="none" w:sz="0" w:space="0" w:color="auto"/>
              </w:divBdr>
            </w:div>
            <w:div w:id="1481465176">
              <w:marLeft w:val="0"/>
              <w:marRight w:val="0"/>
              <w:marTop w:val="0"/>
              <w:marBottom w:val="0"/>
              <w:divBdr>
                <w:top w:val="none" w:sz="0" w:space="0" w:color="auto"/>
                <w:left w:val="none" w:sz="0" w:space="0" w:color="auto"/>
                <w:bottom w:val="none" w:sz="0" w:space="0" w:color="auto"/>
                <w:right w:val="none" w:sz="0" w:space="0" w:color="auto"/>
              </w:divBdr>
            </w:div>
            <w:div w:id="703218058">
              <w:marLeft w:val="0"/>
              <w:marRight w:val="0"/>
              <w:marTop w:val="0"/>
              <w:marBottom w:val="0"/>
              <w:divBdr>
                <w:top w:val="none" w:sz="0" w:space="0" w:color="auto"/>
                <w:left w:val="none" w:sz="0" w:space="0" w:color="auto"/>
                <w:bottom w:val="none" w:sz="0" w:space="0" w:color="auto"/>
                <w:right w:val="none" w:sz="0" w:space="0" w:color="auto"/>
              </w:divBdr>
            </w:div>
            <w:div w:id="1860970744">
              <w:marLeft w:val="0"/>
              <w:marRight w:val="0"/>
              <w:marTop w:val="0"/>
              <w:marBottom w:val="0"/>
              <w:divBdr>
                <w:top w:val="none" w:sz="0" w:space="0" w:color="auto"/>
                <w:left w:val="none" w:sz="0" w:space="0" w:color="auto"/>
                <w:bottom w:val="none" w:sz="0" w:space="0" w:color="auto"/>
                <w:right w:val="none" w:sz="0" w:space="0" w:color="auto"/>
              </w:divBdr>
            </w:div>
            <w:div w:id="2001494485">
              <w:marLeft w:val="0"/>
              <w:marRight w:val="0"/>
              <w:marTop w:val="0"/>
              <w:marBottom w:val="0"/>
              <w:divBdr>
                <w:top w:val="none" w:sz="0" w:space="0" w:color="auto"/>
                <w:left w:val="none" w:sz="0" w:space="0" w:color="auto"/>
                <w:bottom w:val="none" w:sz="0" w:space="0" w:color="auto"/>
                <w:right w:val="none" w:sz="0" w:space="0" w:color="auto"/>
              </w:divBdr>
              <w:divsChild>
                <w:div w:id="1097094066">
                  <w:marLeft w:val="0"/>
                  <w:marRight w:val="0"/>
                  <w:marTop w:val="0"/>
                  <w:marBottom w:val="0"/>
                  <w:divBdr>
                    <w:top w:val="none" w:sz="0" w:space="0" w:color="auto"/>
                    <w:left w:val="none" w:sz="0" w:space="0" w:color="auto"/>
                    <w:bottom w:val="none" w:sz="0" w:space="0" w:color="auto"/>
                    <w:right w:val="none" w:sz="0" w:space="0" w:color="auto"/>
                  </w:divBdr>
                </w:div>
              </w:divsChild>
            </w:div>
            <w:div w:id="644941677">
              <w:marLeft w:val="0"/>
              <w:marRight w:val="0"/>
              <w:marTop w:val="0"/>
              <w:marBottom w:val="0"/>
              <w:divBdr>
                <w:top w:val="none" w:sz="0" w:space="0" w:color="auto"/>
                <w:left w:val="none" w:sz="0" w:space="0" w:color="auto"/>
                <w:bottom w:val="none" w:sz="0" w:space="0" w:color="auto"/>
                <w:right w:val="none" w:sz="0" w:space="0" w:color="auto"/>
              </w:divBdr>
              <w:divsChild>
                <w:div w:id="1159424212">
                  <w:marLeft w:val="0"/>
                  <w:marRight w:val="0"/>
                  <w:marTop w:val="0"/>
                  <w:marBottom w:val="0"/>
                  <w:divBdr>
                    <w:top w:val="none" w:sz="0" w:space="0" w:color="auto"/>
                    <w:left w:val="none" w:sz="0" w:space="0" w:color="auto"/>
                    <w:bottom w:val="none" w:sz="0" w:space="0" w:color="auto"/>
                    <w:right w:val="none" w:sz="0" w:space="0" w:color="auto"/>
                  </w:divBdr>
                </w:div>
              </w:divsChild>
            </w:div>
            <w:div w:id="1590381954">
              <w:marLeft w:val="0"/>
              <w:marRight w:val="0"/>
              <w:marTop w:val="0"/>
              <w:marBottom w:val="0"/>
              <w:divBdr>
                <w:top w:val="none" w:sz="0" w:space="0" w:color="auto"/>
                <w:left w:val="none" w:sz="0" w:space="0" w:color="auto"/>
                <w:bottom w:val="none" w:sz="0" w:space="0" w:color="auto"/>
                <w:right w:val="none" w:sz="0" w:space="0" w:color="auto"/>
              </w:divBdr>
            </w:div>
            <w:div w:id="622158457">
              <w:marLeft w:val="0"/>
              <w:marRight w:val="0"/>
              <w:marTop w:val="0"/>
              <w:marBottom w:val="0"/>
              <w:divBdr>
                <w:top w:val="none" w:sz="0" w:space="0" w:color="auto"/>
                <w:left w:val="none" w:sz="0" w:space="0" w:color="auto"/>
                <w:bottom w:val="none" w:sz="0" w:space="0" w:color="auto"/>
                <w:right w:val="none" w:sz="0" w:space="0" w:color="auto"/>
              </w:divBdr>
            </w:div>
            <w:div w:id="165676222">
              <w:marLeft w:val="0"/>
              <w:marRight w:val="0"/>
              <w:marTop w:val="0"/>
              <w:marBottom w:val="0"/>
              <w:divBdr>
                <w:top w:val="none" w:sz="0" w:space="0" w:color="auto"/>
                <w:left w:val="none" w:sz="0" w:space="0" w:color="auto"/>
                <w:bottom w:val="none" w:sz="0" w:space="0" w:color="auto"/>
                <w:right w:val="none" w:sz="0" w:space="0" w:color="auto"/>
              </w:divBdr>
              <w:divsChild>
                <w:div w:id="1563826792">
                  <w:marLeft w:val="0"/>
                  <w:marRight w:val="0"/>
                  <w:marTop w:val="0"/>
                  <w:marBottom w:val="0"/>
                  <w:divBdr>
                    <w:top w:val="none" w:sz="0" w:space="0" w:color="auto"/>
                    <w:left w:val="none" w:sz="0" w:space="0" w:color="auto"/>
                    <w:bottom w:val="none" w:sz="0" w:space="0" w:color="auto"/>
                    <w:right w:val="none" w:sz="0" w:space="0" w:color="auto"/>
                  </w:divBdr>
                </w:div>
              </w:divsChild>
            </w:div>
            <w:div w:id="56898611">
              <w:marLeft w:val="0"/>
              <w:marRight w:val="0"/>
              <w:marTop w:val="0"/>
              <w:marBottom w:val="0"/>
              <w:divBdr>
                <w:top w:val="none" w:sz="0" w:space="0" w:color="auto"/>
                <w:left w:val="none" w:sz="0" w:space="0" w:color="auto"/>
                <w:bottom w:val="none" w:sz="0" w:space="0" w:color="auto"/>
                <w:right w:val="none" w:sz="0" w:space="0" w:color="auto"/>
              </w:divBdr>
            </w:div>
            <w:div w:id="802423929">
              <w:marLeft w:val="0"/>
              <w:marRight w:val="0"/>
              <w:marTop w:val="0"/>
              <w:marBottom w:val="0"/>
              <w:divBdr>
                <w:top w:val="none" w:sz="0" w:space="0" w:color="auto"/>
                <w:left w:val="none" w:sz="0" w:space="0" w:color="auto"/>
                <w:bottom w:val="none" w:sz="0" w:space="0" w:color="auto"/>
                <w:right w:val="none" w:sz="0" w:space="0" w:color="auto"/>
              </w:divBdr>
            </w:div>
            <w:div w:id="1916430167">
              <w:marLeft w:val="0"/>
              <w:marRight w:val="0"/>
              <w:marTop w:val="0"/>
              <w:marBottom w:val="0"/>
              <w:divBdr>
                <w:top w:val="none" w:sz="0" w:space="0" w:color="auto"/>
                <w:left w:val="none" w:sz="0" w:space="0" w:color="auto"/>
                <w:bottom w:val="none" w:sz="0" w:space="0" w:color="auto"/>
                <w:right w:val="none" w:sz="0" w:space="0" w:color="auto"/>
              </w:divBdr>
              <w:divsChild>
                <w:div w:id="409350550">
                  <w:marLeft w:val="0"/>
                  <w:marRight w:val="0"/>
                  <w:marTop w:val="0"/>
                  <w:marBottom w:val="0"/>
                  <w:divBdr>
                    <w:top w:val="none" w:sz="0" w:space="0" w:color="auto"/>
                    <w:left w:val="none" w:sz="0" w:space="0" w:color="auto"/>
                    <w:bottom w:val="none" w:sz="0" w:space="0" w:color="auto"/>
                    <w:right w:val="none" w:sz="0" w:space="0" w:color="auto"/>
                  </w:divBdr>
                </w:div>
                <w:div w:id="1278024602">
                  <w:marLeft w:val="0"/>
                  <w:marRight w:val="0"/>
                  <w:marTop w:val="0"/>
                  <w:marBottom w:val="0"/>
                  <w:divBdr>
                    <w:top w:val="none" w:sz="0" w:space="0" w:color="auto"/>
                    <w:left w:val="none" w:sz="0" w:space="0" w:color="auto"/>
                    <w:bottom w:val="none" w:sz="0" w:space="0" w:color="auto"/>
                    <w:right w:val="none" w:sz="0" w:space="0" w:color="auto"/>
                  </w:divBdr>
                </w:div>
              </w:divsChild>
            </w:div>
            <w:div w:id="470097783">
              <w:marLeft w:val="0"/>
              <w:marRight w:val="0"/>
              <w:marTop w:val="0"/>
              <w:marBottom w:val="0"/>
              <w:divBdr>
                <w:top w:val="none" w:sz="0" w:space="0" w:color="auto"/>
                <w:left w:val="none" w:sz="0" w:space="0" w:color="auto"/>
                <w:bottom w:val="none" w:sz="0" w:space="0" w:color="auto"/>
                <w:right w:val="none" w:sz="0" w:space="0" w:color="auto"/>
              </w:divBdr>
            </w:div>
            <w:div w:id="242762984">
              <w:marLeft w:val="0"/>
              <w:marRight w:val="0"/>
              <w:marTop w:val="0"/>
              <w:marBottom w:val="0"/>
              <w:divBdr>
                <w:top w:val="none" w:sz="0" w:space="0" w:color="auto"/>
                <w:left w:val="none" w:sz="0" w:space="0" w:color="auto"/>
                <w:bottom w:val="none" w:sz="0" w:space="0" w:color="auto"/>
                <w:right w:val="none" w:sz="0" w:space="0" w:color="auto"/>
              </w:divBdr>
              <w:divsChild>
                <w:div w:id="687221500">
                  <w:marLeft w:val="0"/>
                  <w:marRight w:val="0"/>
                  <w:marTop w:val="0"/>
                  <w:marBottom w:val="0"/>
                  <w:divBdr>
                    <w:top w:val="none" w:sz="0" w:space="0" w:color="auto"/>
                    <w:left w:val="none" w:sz="0" w:space="0" w:color="auto"/>
                    <w:bottom w:val="none" w:sz="0" w:space="0" w:color="auto"/>
                    <w:right w:val="none" w:sz="0" w:space="0" w:color="auto"/>
                  </w:divBdr>
                </w:div>
              </w:divsChild>
            </w:div>
            <w:div w:id="559561010">
              <w:marLeft w:val="0"/>
              <w:marRight w:val="0"/>
              <w:marTop w:val="0"/>
              <w:marBottom w:val="0"/>
              <w:divBdr>
                <w:top w:val="none" w:sz="0" w:space="0" w:color="auto"/>
                <w:left w:val="none" w:sz="0" w:space="0" w:color="auto"/>
                <w:bottom w:val="none" w:sz="0" w:space="0" w:color="auto"/>
                <w:right w:val="none" w:sz="0" w:space="0" w:color="auto"/>
              </w:divBdr>
            </w:div>
            <w:div w:id="1071388518">
              <w:marLeft w:val="0"/>
              <w:marRight w:val="0"/>
              <w:marTop w:val="0"/>
              <w:marBottom w:val="0"/>
              <w:divBdr>
                <w:top w:val="none" w:sz="0" w:space="0" w:color="auto"/>
                <w:left w:val="none" w:sz="0" w:space="0" w:color="auto"/>
                <w:bottom w:val="none" w:sz="0" w:space="0" w:color="auto"/>
                <w:right w:val="none" w:sz="0" w:space="0" w:color="auto"/>
              </w:divBdr>
            </w:div>
            <w:div w:id="1253246951">
              <w:marLeft w:val="0"/>
              <w:marRight w:val="0"/>
              <w:marTop w:val="0"/>
              <w:marBottom w:val="0"/>
              <w:divBdr>
                <w:top w:val="none" w:sz="0" w:space="0" w:color="auto"/>
                <w:left w:val="none" w:sz="0" w:space="0" w:color="auto"/>
                <w:bottom w:val="none" w:sz="0" w:space="0" w:color="auto"/>
                <w:right w:val="none" w:sz="0" w:space="0" w:color="auto"/>
              </w:divBdr>
              <w:divsChild>
                <w:div w:id="1149975688">
                  <w:marLeft w:val="0"/>
                  <w:marRight w:val="0"/>
                  <w:marTop w:val="0"/>
                  <w:marBottom w:val="0"/>
                  <w:divBdr>
                    <w:top w:val="none" w:sz="0" w:space="0" w:color="auto"/>
                    <w:left w:val="none" w:sz="0" w:space="0" w:color="auto"/>
                    <w:bottom w:val="none" w:sz="0" w:space="0" w:color="auto"/>
                    <w:right w:val="none" w:sz="0" w:space="0" w:color="auto"/>
                  </w:divBdr>
                </w:div>
                <w:div w:id="992490381">
                  <w:marLeft w:val="0"/>
                  <w:marRight w:val="0"/>
                  <w:marTop w:val="0"/>
                  <w:marBottom w:val="0"/>
                  <w:divBdr>
                    <w:top w:val="none" w:sz="0" w:space="0" w:color="auto"/>
                    <w:left w:val="none" w:sz="0" w:space="0" w:color="auto"/>
                    <w:bottom w:val="none" w:sz="0" w:space="0" w:color="auto"/>
                    <w:right w:val="none" w:sz="0" w:space="0" w:color="auto"/>
                  </w:divBdr>
                </w:div>
              </w:divsChild>
            </w:div>
            <w:div w:id="647514031">
              <w:marLeft w:val="0"/>
              <w:marRight w:val="0"/>
              <w:marTop w:val="0"/>
              <w:marBottom w:val="0"/>
              <w:divBdr>
                <w:top w:val="none" w:sz="0" w:space="0" w:color="auto"/>
                <w:left w:val="none" w:sz="0" w:space="0" w:color="auto"/>
                <w:bottom w:val="none" w:sz="0" w:space="0" w:color="auto"/>
                <w:right w:val="none" w:sz="0" w:space="0" w:color="auto"/>
              </w:divBdr>
            </w:div>
            <w:div w:id="559052485">
              <w:marLeft w:val="0"/>
              <w:marRight w:val="0"/>
              <w:marTop w:val="0"/>
              <w:marBottom w:val="0"/>
              <w:divBdr>
                <w:top w:val="none" w:sz="0" w:space="0" w:color="auto"/>
                <w:left w:val="none" w:sz="0" w:space="0" w:color="auto"/>
                <w:bottom w:val="none" w:sz="0" w:space="0" w:color="auto"/>
                <w:right w:val="none" w:sz="0" w:space="0" w:color="auto"/>
              </w:divBdr>
            </w:div>
            <w:div w:id="1775132819">
              <w:marLeft w:val="0"/>
              <w:marRight w:val="0"/>
              <w:marTop w:val="0"/>
              <w:marBottom w:val="0"/>
              <w:divBdr>
                <w:top w:val="none" w:sz="0" w:space="0" w:color="auto"/>
                <w:left w:val="none" w:sz="0" w:space="0" w:color="auto"/>
                <w:bottom w:val="none" w:sz="0" w:space="0" w:color="auto"/>
                <w:right w:val="none" w:sz="0" w:space="0" w:color="auto"/>
              </w:divBdr>
              <w:divsChild>
                <w:div w:id="195120760">
                  <w:marLeft w:val="0"/>
                  <w:marRight w:val="0"/>
                  <w:marTop w:val="0"/>
                  <w:marBottom w:val="0"/>
                  <w:divBdr>
                    <w:top w:val="none" w:sz="0" w:space="0" w:color="auto"/>
                    <w:left w:val="none" w:sz="0" w:space="0" w:color="auto"/>
                    <w:bottom w:val="none" w:sz="0" w:space="0" w:color="auto"/>
                    <w:right w:val="none" w:sz="0" w:space="0" w:color="auto"/>
                  </w:divBdr>
                </w:div>
              </w:divsChild>
            </w:div>
            <w:div w:id="93332055">
              <w:marLeft w:val="0"/>
              <w:marRight w:val="0"/>
              <w:marTop w:val="0"/>
              <w:marBottom w:val="0"/>
              <w:divBdr>
                <w:top w:val="none" w:sz="0" w:space="0" w:color="auto"/>
                <w:left w:val="none" w:sz="0" w:space="0" w:color="auto"/>
                <w:bottom w:val="none" w:sz="0" w:space="0" w:color="auto"/>
                <w:right w:val="none" w:sz="0" w:space="0" w:color="auto"/>
              </w:divBdr>
            </w:div>
            <w:div w:id="1846240070">
              <w:marLeft w:val="0"/>
              <w:marRight w:val="0"/>
              <w:marTop w:val="0"/>
              <w:marBottom w:val="0"/>
              <w:divBdr>
                <w:top w:val="none" w:sz="0" w:space="0" w:color="auto"/>
                <w:left w:val="none" w:sz="0" w:space="0" w:color="auto"/>
                <w:bottom w:val="none" w:sz="0" w:space="0" w:color="auto"/>
                <w:right w:val="none" w:sz="0" w:space="0" w:color="auto"/>
              </w:divBdr>
            </w:div>
            <w:div w:id="847450949">
              <w:marLeft w:val="0"/>
              <w:marRight w:val="0"/>
              <w:marTop w:val="0"/>
              <w:marBottom w:val="0"/>
              <w:divBdr>
                <w:top w:val="none" w:sz="0" w:space="0" w:color="auto"/>
                <w:left w:val="none" w:sz="0" w:space="0" w:color="auto"/>
                <w:bottom w:val="none" w:sz="0" w:space="0" w:color="auto"/>
                <w:right w:val="none" w:sz="0" w:space="0" w:color="auto"/>
              </w:divBdr>
              <w:divsChild>
                <w:div w:id="521088641">
                  <w:marLeft w:val="0"/>
                  <w:marRight w:val="0"/>
                  <w:marTop w:val="0"/>
                  <w:marBottom w:val="0"/>
                  <w:divBdr>
                    <w:top w:val="none" w:sz="0" w:space="0" w:color="auto"/>
                    <w:left w:val="none" w:sz="0" w:space="0" w:color="auto"/>
                    <w:bottom w:val="none" w:sz="0" w:space="0" w:color="auto"/>
                    <w:right w:val="none" w:sz="0" w:space="0" w:color="auto"/>
                  </w:divBdr>
                </w:div>
              </w:divsChild>
            </w:div>
            <w:div w:id="761487365">
              <w:marLeft w:val="0"/>
              <w:marRight w:val="0"/>
              <w:marTop w:val="0"/>
              <w:marBottom w:val="0"/>
              <w:divBdr>
                <w:top w:val="none" w:sz="0" w:space="0" w:color="auto"/>
                <w:left w:val="none" w:sz="0" w:space="0" w:color="auto"/>
                <w:bottom w:val="none" w:sz="0" w:space="0" w:color="auto"/>
                <w:right w:val="none" w:sz="0" w:space="0" w:color="auto"/>
              </w:divBdr>
              <w:divsChild>
                <w:div w:id="13471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6407">
          <w:marLeft w:val="600"/>
          <w:marRight w:val="600"/>
          <w:marTop w:val="600"/>
          <w:marBottom w:val="600"/>
          <w:divBdr>
            <w:top w:val="single" w:sz="6" w:space="0" w:color="C0C0C0"/>
            <w:left w:val="single" w:sz="6" w:space="0" w:color="C0C0C0"/>
            <w:bottom w:val="single" w:sz="6" w:space="0" w:color="C0C0C0"/>
            <w:right w:val="single" w:sz="6" w:space="0" w:color="C0C0C0"/>
          </w:divBdr>
          <w:divsChild>
            <w:div w:id="1441950294">
              <w:marLeft w:val="0"/>
              <w:marRight w:val="0"/>
              <w:marTop w:val="0"/>
              <w:marBottom w:val="0"/>
              <w:divBdr>
                <w:top w:val="none" w:sz="0" w:space="0" w:color="auto"/>
                <w:left w:val="none" w:sz="0" w:space="0" w:color="auto"/>
                <w:bottom w:val="none" w:sz="0" w:space="0" w:color="auto"/>
                <w:right w:val="none" w:sz="0" w:space="0" w:color="auto"/>
              </w:divBdr>
              <w:divsChild>
                <w:div w:id="854151206">
                  <w:marLeft w:val="0"/>
                  <w:marRight w:val="0"/>
                  <w:marTop w:val="0"/>
                  <w:marBottom w:val="0"/>
                  <w:divBdr>
                    <w:top w:val="none" w:sz="0" w:space="0" w:color="auto"/>
                    <w:left w:val="none" w:sz="0" w:space="0" w:color="auto"/>
                    <w:bottom w:val="none" w:sz="0" w:space="0" w:color="auto"/>
                    <w:right w:val="none" w:sz="0" w:space="0" w:color="auto"/>
                  </w:divBdr>
                </w:div>
              </w:divsChild>
            </w:div>
            <w:div w:id="1595744487">
              <w:marLeft w:val="0"/>
              <w:marRight w:val="0"/>
              <w:marTop w:val="0"/>
              <w:marBottom w:val="0"/>
              <w:divBdr>
                <w:top w:val="none" w:sz="0" w:space="0" w:color="auto"/>
                <w:left w:val="none" w:sz="0" w:space="0" w:color="auto"/>
                <w:bottom w:val="none" w:sz="0" w:space="0" w:color="auto"/>
                <w:right w:val="none" w:sz="0" w:space="0" w:color="auto"/>
              </w:divBdr>
              <w:divsChild>
                <w:div w:id="241258908">
                  <w:marLeft w:val="0"/>
                  <w:marRight w:val="0"/>
                  <w:marTop w:val="0"/>
                  <w:marBottom w:val="0"/>
                  <w:divBdr>
                    <w:top w:val="none" w:sz="0" w:space="0" w:color="auto"/>
                    <w:left w:val="none" w:sz="0" w:space="0" w:color="auto"/>
                    <w:bottom w:val="none" w:sz="0" w:space="0" w:color="auto"/>
                    <w:right w:val="none" w:sz="0" w:space="0" w:color="auto"/>
                  </w:divBdr>
                </w:div>
              </w:divsChild>
            </w:div>
            <w:div w:id="1191795366">
              <w:marLeft w:val="0"/>
              <w:marRight w:val="0"/>
              <w:marTop w:val="0"/>
              <w:marBottom w:val="0"/>
              <w:divBdr>
                <w:top w:val="none" w:sz="0" w:space="0" w:color="auto"/>
                <w:left w:val="none" w:sz="0" w:space="0" w:color="auto"/>
                <w:bottom w:val="none" w:sz="0" w:space="0" w:color="auto"/>
                <w:right w:val="none" w:sz="0" w:space="0" w:color="auto"/>
              </w:divBdr>
            </w:div>
            <w:div w:id="638926817">
              <w:marLeft w:val="0"/>
              <w:marRight w:val="0"/>
              <w:marTop w:val="0"/>
              <w:marBottom w:val="0"/>
              <w:divBdr>
                <w:top w:val="none" w:sz="0" w:space="0" w:color="auto"/>
                <w:left w:val="none" w:sz="0" w:space="0" w:color="auto"/>
                <w:bottom w:val="none" w:sz="0" w:space="0" w:color="auto"/>
                <w:right w:val="none" w:sz="0" w:space="0" w:color="auto"/>
              </w:divBdr>
              <w:divsChild>
                <w:div w:id="794912166">
                  <w:marLeft w:val="0"/>
                  <w:marRight w:val="0"/>
                  <w:marTop w:val="0"/>
                  <w:marBottom w:val="0"/>
                  <w:divBdr>
                    <w:top w:val="none" w:sz="0" w:space="0" w:color="auto"/>
                    <w:left w:val="none" w:sz="0" w:space="0" w:color="auto"/>
                    <w:bottom w:val="none" w:sz="0" w:space="0" w:color="auto"/>
                    <w:right w:val="none" w:sz="0" w:space="0" w:color="auto"/>
                  </w:divBdr>
                </w:div>
              </w:divsChild>
            </w:div>
            <w:div w:id="1206677340">
              <w:marLeft w:val="0"/>
              <w:marRight w:val="0"/>
              <w:marTop w:val="0"/>
              <w:marBottom w:val="0"/>
              <w:divBdr>
                <w:top w:val="none" w:sz="0" w:space="0" w:color="auto"/>
                <w:left w:val="none" w:sz="0" w:space="0" w:color="auto"/>
                <w:bottom w:val="none" w:sz="0" w:space="0" w:color="auto"/>
                <w:right w:val="none" w:sz="0" w:space="0" w:color="auto"/>
              </w:divBdr>
            </w:div>
            <w:div w:id="520045719">
              <w:marLeft w:val="0"/>
              <w:marRight w:val="0"/>
              <w:marTop w:val="0"/>
              <w:marBottom w:val="0"/>
              <w:divBdr>
                <w:top w:val="none" w:sz="0" w:space="0" w:color="auto"/>
                <w:left w:val="none" w:sz="0" w:space="0" w:color="auto"/>
                <w:bottom w:val="none" w:sz="0" w:space="0" w:color="auto"/>
                <w:right w:val="none" w:sz="0" w:space="0" w:color="auto"/>
              </w:divBdr>
              <w:divsChild>
                <w:div w:id="1224833550">
                  <w:marLeft w:val="0"/>
                  <w:marRight w:val="0"/>
                  <w:marTop w:val="0"/>
                  <w:marBottom w:val="0"/>
                  <w:divBdr>
                    <w:top w:val="none" w:sz="0" w:space="0" w:color="auto"/>
                    <w:left w:val="none" w:sz="0" w:space="0" w:color="auto"/>
                    <w:bottom w:val="none" w:sz="0" w:space="0" w:color="auto"/>
                    <w:right w:val="none" w:sz="0" w:space="0" w:color="auto"/>
                  </w:divBdr>
                </w:div>
              </w:divsChild>
            </w:div>
            <w:div w:id="1868904552">
              <w:marLeft w:val="0"/>
              <w:marRight w:val="0"/>
              <w:marTop w:val="0"/>
              <w:marBottom w:val="0"/>
              <w:divBdr>
                <w:top w:val="none" w:sz="0" w:space="0" w:color="auto"/>
                <w:left w:val="none" w:sz="0" w:space="0" w:color="auto"/>
                <w:bottom w:val="none" w:sz="0" w:space="0" w:color="auto"/>
                <w:right w:val="none" w:sz="0" w:space="0" w:color="auto"/>
              </w:divBdr>
              <w:divsChild>
                <w:div w:id="1828327995">
                  <w:marLeft w:val="0"/>
                  <w:marRight w:val="0"/>
                  <w:marTop w:val="0"/>
                  <w:marBottom w:val="0"/>
                  <w:divBdr>
                    <w:top w:val="none" w:sz="0" w:space="0" w:color="auto"/>
                    <w:left w:val="none" w:sz="0" w:space="0" w:color="auto"/>
                    <w:bottom w:val="none" w:sz="0" w:space="0" w:color="auto"/>
                    <w:right w:val="none" w:sz="0" w:space="0" w:color="auto"/>
                  </w:divBdr>
                </w:div>
              </w:divsChild>
            </w:div>
            <w:div w:id="76488815">
              <w:marLeft w:val="0"/>
              <w:marRight w:val="0"/>
              <w:marTop w:val="0"/>
              <w:marBottom w:val="0"/>
              <w:divBdr>
                <w:top w:val="none" w:sz="0" w:space="0" w:color="auto"/>
                <w:left w:val="none" w:sz="0" w:space="0" w:color="auto"/>
                <w:bottom w:val="none" w:sz="0" w:space="0" w:color="auto"/>
                <w:right w:val="none" w:sz="0" w:space="0" w:color="auto"/>
              </w:divBdr>
            </w:div>
            <w:div w:id="115368311">
              <w:marLeft w:val="0"/>
              <w:marRight w:val="0"/>
              <w:marTop w:val="0"/>
              <w:marBottom w:val="0"/>
              <w:divBdr>
                <w:top w:val="none" w:sz="0" w:space="0" w:color="auto"/>
                <w:left w:val="none" w:sz="0" w:space="0" w:color="auto"/>
                <w:bottom w:val="none" w:sz="0" w:space="0" w:color="auto"/>
                <w:right w:val="none" w:sz="0" w:space="0" w:color="auto"/>
              </w:divBdr>
              <w:divsChild>
                <w:div w:id="1088770868">
                  <w:marLeft w:val="0"/>
                  <w:marRight w:val="0"/>
                  <w:marTop w:val="0"/>
                  <w:marBottom w:val="0"/>
                  <w:divBdr>
                    <w:top w:val="none" w:sz="0" w:space="0" w:color="auto"/>
                    <w:left w:val="none" w:sz="0" w:space="0" w:color="auto"/>
                    <w:bottom w:val="none" w:sz="0" w:space="0" w:color="auto"/>
                    <w:right w:val="none" w:sz="0" w:space="0" w:color="auto"/>
                  </w:divBdr>
                </w:div>
              </w:divsChild>
            </w:div>
            <w:div w:id="931399081">
              <w:marLeft w:val="0"/>
              <w:marRight w:val="0"/>
              <w:marTop w:val="0"/>
              <w:marBottom w:val="0"/>
              <w:divBdr>
                <w:top w:val="none" w:sz="0" w:space="0" w:color="auto"/>
                <w:left w:val="none" w:sz="0" w:space="0" w:color="auto"/>
                <w:bottom w:val="none" w:sz="0" w:space="0" w:color="auto"/>
                <w:right w:val="none" w:sz="0" w:space="0" w:color="auto"/>
              </w:divBdr>
            </w:div>
            <w:div w:id="1045718755">
              <w:marLeft w:val="0"/>
              <w:marRight w:val="0"/>
              <w:marTop w:val="0"/>
              <w:marBottom w:val="0"/>
              <w:divBdr>
                <w:top w:val="none" w:sz="0" w:space="0" w:color="auto"/>
                <w:left w:val="none" w:sz="0" w:space="0" w:color="auto"/>
                <w:bottom w:val="none" w:sz="0" w:space="0" w:color="auto"/>
                <w:right w:val="none" w:sz="0" w:space="0" w:color="auto"/>
              </w:divBdr>
            </w:div>
            <w:div w:id="839858015">
              <w:marLeft w:val="0"/>
              <w:marRight w:val="0"/>
              <w:marTop w:val="0"/>
              <w:marBottom w:val="0"/>
              <w:divBdr>
                <w:top w:val="none" w:sz="0" w:space="0" w:color="auto"/>
                <w:left w:val="none" w:sz="0" w:space="0" w:color="auto"/>
                <w:bottom w:val="none" w:sz="0" w:space="0" w:color="auto"/>
                <w:right w:val="none" w:sz="0" w:space="0" w:color="auto"/>
              </w:divBdr>
            </w:div>
            <w:div w:id="567417651">
              <w:marLeft w:val="0"/>
              <w:marRight w:val="0"/>
              <w:marTop w:val="0"/>
              <w:marBottom w:val="0"/>
              <w:divBdr>
                <w:top w:val="none" w:sz="0" w:space="0" w:color="auto"/>
                <w:left w:val="none" w:sz="0" w:space="0" w:color="auto"/>
                <w:bottom w:val="none" w:sz="0" w:space="0" w:color="auto"/>
                <w:right w:val="none" w:sz="0" w:space="0" w:color="auto"/>
              </w:divBdr>
              <w:divsChild>
                <w:div w:id="1218855404">
                  <w:marLeft w:val="0"/>
                  <w:marRight w:val="0"/>
                  <w:marTop w:val="0"/>
                  <w:marBottom w:val="0"/>
                  <w:divBdr>
                    <w:top w:val="none" w:sz="0" w:space="0" w:color="auto"/>
                    <w:left w:val="none" w:sz="0" w:space="0" w:color="auto"/>
                    <w:bottom w:val="none" w:sz="0" w:space="0" w:color="auto"/>
                    <w:right w:val="none" w:sz="0" w:space="0" w:color="auto"/>
                  </w:divBdr>
                </w:div>
              </w:divsChild>
            </w:div>
            <w:div w:id="2123458096">
              <w:marLeft w:val="0"/>
              <w:marRight w:val="0"/>
              <w:marTop w:val="0"/>
              <w:marBottom w:val="0"/>
              <w:divBdr>
                <w:top w:val="none" w:sz="0" w:space="0" w:color="auto"/>
                <w:left w:val="none" w:sz="0" w:space="0" w:color="auto"/>
                <w:bottom w:val="none" w:sz="0" w:space="0" w:color="auto"/>
                <w:right w:val="none" w:sz="0" w:space="0" w:color="auto"/>
              </w:divBdr>
            </w:div>
            <w:div w:id="1593778785">
              <w:marLeft w:val="0"/>
              <w:marRight w:val="0"/>
              <w:marTop w:val="0"/>
              <w:marBottom w:val="0"/>
              <w:divBdr>
                <w:top w:val="none" w:sz="0" w:space="0" w:color="auto"/>
                <w:left w:val="none" w:sz="0" w:space="0" w:color="auto"/>
                <w:bottom w:val="none" w:sz="0" w:space="0" w:color="auto"/>
                <w:right w:val="none" w:sz="0" w:space="0" w:color="auto"/>
              </w:divBdr>
            </w:div>
            <w:div w:id="1728454972">
              <w:marLeft w:val="0"/>
              <w:marRight w:val="0"/>
              <w:marTop w:val="0"/>
              <w:marBottom w:val="0"/>
              <w:divBdr>
                <w:top w:val="none" w:sz="0" w:space="0" w:color="auto"/>
                <w:left w:val="none" w:sz="0" w:space="0" w:color="auto"/>
                <w:bottom w:val="none" w:sz="0" w:space="0" w:color="auto"/>
                <w:right w:val="none" w:sz="0" w:space="0" w:color="auto"/>
              </w:divBdr>
            </w:div>
            <w:div w:id="48843665">
              <w:marLeft w:val="0"/>
              <w:marRight w:val="0"/>
              <w:marTop w:val="0"/>
              <w:marBottom w:val="0"/>
              <w:divBdr>
                <w:top w:val="none" w:sz="0" w:space="0" w:color="auto"/>
                <w:left w:val="none" w:sz="0" w:space="0" w:color="auto"/>
                <w:bottom w:val="none" w:sz="0" w:space="0" w:color="auto"/>
                <w:right w:val="none" w:sz="0" w:space="0" w:color="auto"/>
              </w:divBdr>
            </w:div>
            <w:div w:id="157307940">
              <w:marLeft w:val="0"/>
              <w:marRight w:val="0"/>
              <w:marTop w:val="0"/>
              <w:marBottom w:val="0"/>
              <w:divBdr>
                <w:top w:val="none" w:sz="0" w:space="0" w:color="auto"/>
                <w:left w:val="none" w:sz="0" w:space="0" w:color="auto"/>
                <w:bottom w:val="none" w:sz="0" w:space="0" w:color="auto"/>
                <w:right w:val="none" w:sz="0" w:space="0" w:color="auto"/>
              </w:divBdr>
            </w:div>
            <w:div w:id="677192792">
              <w:marLeft w:val="0"/>
              <w:marRight w:val="0"/>
              <w:marTop w:val="0"/>
              <w:marBottom w:val="0"/>
              <w:divBdr>
                <w:top w:val="none" w:sz="0" w:space="0" w:color="auto"/>
                <w:left w:val="none" w:sz="0" w:space="0" w:color="auto"/>
                <w:bottom w:val="none" w:sz="0" w:space="0" w:color="auto"/>
                <w:right w:val="none" w:sz="0" w:space="0" w:color="auto"/>
              </w:divBdr>
              <w:divsChild>
                <w:div w:id="339966392">
                  <w:marLeft w:val="0"/>
                  <w:marRight w:val="0"/>
                  <w:marTop w:val="0"/>
                  <w:marBottom w:val="0"/>
                  <w:divBdr>
                    <w:top w:val="none" w:sz="0" w:space="0" w:color="auto"/>
                    <w:left w:val="none" w:sz="0" w:space="0" w:color="auto"/>
                    <w:bottom w:val="none" w:sz="0" w:space="0" w:color="auto"/>
                    <w:right w:val="none" w:sz="0" w:space="0" w:color="auto"/>
                  </w:divBdr>
                </w:div>
              </w:divsChild>
            </w:div>
            <w:div w:id="2099279427">
              <w:marLeft w:val="0"/>
              <w:marRight w:val="0"/>
              <w:marTop w:val="0"/>
              <w:marBottom w:val="0"/>
              <w:divBdr>
                <w:top w:val="none" w:sz="0" w:space="0" w:color="auto"/>
                <w:left w:val="none" w:sz="0" w:space="0" w:color="auto"/>
                <w:bottom w:val="none" w:sz="0" w:space="0" w:color="auto"/>
                <w:right w:val="none" w:sz="0" w:space="0" w:color="auto"/>
              </w:divBdr>
              <w:divsChild>
                <w:div w:id="1469711590">
                  <w:marLeft w:val="0"/>
                  <w:marRight w:val="0"/>
                  <w:marTop w:val="0"/>
                  <w:marBottom w:val="0"/>
                  <w:divBdr>
                    <w:top w:val="none" w:sz="0" w:space="0" w:color="auto"/>
                    <w:left w:val="none" w:sz="0" w:space="0" w:color="auto"/>
                    <w:bottom w:val="none" w:sz="0" w:space="0" w:color="auto"/>
                    <w:right w:val="none" w:sz="0" w:space="0" w:color="auto"/>
                  </w:divBdr>
                </w:div>
              </w:divsChild>
            </w:div>
            <w:div w:id="534660902">
              <w:marLeft w:val="0"/>
              <w:marRight w:val="0"/>
              <w:marTop w:val="0"/>
              <w:marBottom w:val="0"/>
              <w:divBdr>
                <w:top w:val="none" w:sz="0" w:space="0" w:color="auto"/>
                <w:left w:val="none" w:sz="0" w:space="0" w:color="auto"/>
                <w:bottom w:val="none" w:sz="0" w:space="0" w:color="auto"/>
                <w:right w:val="none" w:sz="0" w:space="0" w:color="auto"/>
              </w:divBdr>
            </w:div>
            <w:div w:id="379282167">
              <w:marLeft w:val="0"/>
              <w:marRight w:val="0"/>
              <w:marTop w:val="0"/>
              <w:marBottom w:val="0"/>
              <w:divBdr>
                <w:top w:val="none" w:sz="0" w:space="0" w:color="auto"/>
                <w:left w:val="none" w:sz="0" w:space="0" w:color="auto"/>
                <w:bottom w:val="none" w:sz="0" w:space="0" w:color="auto"/>
                <w:right w:val="none" w:sz="0" w:space="0" w:color="auto"/>
              </w:divBdr>
            </w:div>
            <w:div w:id="1614242809">
              <w:marLeft w:val="0"/>
              <w:marRight w:val="0"/>
              <w:marTop w:val="0"/>
              <w:marBottom w:val="0"/>
              <w:divBdr>
                <w:top w:val="none" w:sz="0" w:space="0" w:color="auto"/>
                <w:left w:val="none" w:sz="0" w:space="0" w:color="auto"/>
                <w:bottom w:val="none" w:sz="0" w:space="0" w:color="auto"/>
                <w:right w:val="none" w:sz="0" w:space="0" w:color="auto"/>
              </w:divBdr>
              <w:divsChild>
                <w:div w:id="858784754">
                  <w:marLeft w:val="0"/>
                  <w:marRight w:val="0"/>
                  <w:marTop w:val="0"/>
                  <w:marBottom w:val="0"/>
                  <w:divBdr>
                    <w:top w:val="none" w:sz="0" w:space="0" w:color="auto"/>
                    <w:left w:val="none" w:sz="0" w:space="0" w:color="auto"/>
                    <w:bottom w:val="none" w:sz="0" w:space="0" w:color="auto"/>
                    <w:right w:val="none" w:sz="0" w:space="0" w:color="auto"/>
                  </w:divBdr>
                </w:div>
              </w:divsChild>
            </w:div>
            <w:div w:id="1747729878">
              <w:marLeft w:val="0"/>
              <w:marRight w:val="0"/>
              <w:marTop w:val="0"/>
              <w:marBottom w:val="0"/>
              <w:divBdr>
                <w:top w:val="none" w:sz="0" w:space="0" w:color="auto"/>
                <w:left w:val="none" w:sz="0" w:space="0" w:color="auto"/>
                <w:bottom w:val="none" w:sz="0" w:space="0" w:color="auto"/>
                <w:right w:val="none" w:sz="0" w:space="0" w:color="auto"/>
              </w:divBdr>
            </w:div>
            <w:div w:id="1303728086">
              <w:marLeft w:val="0"/>
              <w:marRight w:val="0"/>
              <w:marTop w:val="0"/>
              <w:marBottom w:val="0"/>
              <w:divBdr>
                <w:top w:val="none" w:sz="0" w:space="0" w:color="auto"/>
                <w:left w:val="none" w:sz="0" w:space="0" w:color="auto"/>
                <w:bottom w:val="none" w:sz="0" w:space="0" w:color="auto"/>
                <w:right w:val="none" w:sz="0" w:space="0" w:color="auto"/>
              </w:divBdr>
            </w:div>
            <w:div w:id="1646542587">
              <w:marLeft w:val="0"/>
              <w:marRight w:val="0"/>
              <w:marTop w:val="0"/>
              <w:marBottom w:val="0"/>
              <w:divBdr>
                <w:top w:val="none" w:sz="0" w:space="0" w:color="auto"/>
                <w:left w:val="none" w:sz="0" w:space="0" w:color="auto"/>
                <w:bottom w:val="none" w:sz="0" w:space="0" w:color="auto"/>
                <w:right w:val="none" w:sz="0" w:space="0" w:color="auto"/>
              </w:divBdr>
              <w:divsChild>
                <w:div w:id="1470050231">
                  <w:marLeft w:val="0"/>
                  <w:marRight w:val="0"/>
                  <w:marTop w:val="0"/>
                  <w:marBottom w:val="0"/>
                  <w:divBdr>
                    <w:top w:val="none" w:sz="0" w:space="0" w:color="auto"/>
                    <w:left w:val="none" w:sz="0" w:space="0" w:color="auto"/>
                    <w:bottom w:val="none" w:sz="0" w:space="0" w:color="auto"/>
                    <w:right w:val="none" w:sz="0" w:space="0" w:color="auto"/>
                  </w:divBdr>
                </w:div>
                <w:div w:id="486823718">
                  <w:marLeft w:val="0"/>
                  <w:marRight w:val="0"/>
                  <w:marTop w:val="0"/>
                  <w:marBottom w:val="0"/>
                  <w:divBdr>
                    <w:top w:val="none" w:sz="0" w:space="0" w:color="auto"/>
                    <w:left w:val="none" w:sz="0" w:space="0" w:color="auto"/>
                    <w:bottom w:val="none" w:sz="0" w:space="0" w:color="auto"/>
                    <w:right w:val="none" w:sz="0" w:space="0" w:color="auto"/>
                  </w:divBdr>
                </w:div>
              </w:divsChild>
            </w:div>
            <w:div w:id="1019040326">
              <w:marLeft w:val="0"/>
              <w:marRight w:val="0"/>
              <w:marTop w:val="0"/>
              <w:marBottom w:val="0"/>
              <w:divBdr>
                <w:top w:val="none" w:sz="0" w:space="0" w:color="auto"/>
                <w:left w:val="none" w:sz="0" w:space="0" w:color="auto"/>
                <w:bottom w:val="none" w:sz="0" w:space="0" w:color="auto"/>
                <w:right w:val="none" w:sz="0" w:space="0" w:color="auto"/>
              </w:divBdr>
            </w:div>
            <w:div w:id="1303120056">
              <w:marLeft w:val="0"/>
              <w:marRight w:val="0"/>
              <w:marTop w:val="0"/>
              <w:marBottom w:val="0"/>
              <w:divBdr>
                <w:top w:val="none" w:sz="0" w:space="0" w:color="auto"/>
                <w:left w:val="none" w:sz="0" w:space="0" w:color="auto"/>
                <w:bottom w:val="none" w:sz="0" w:space="0" w:color="auto"/>
                <w:right w:val="none" w:sz="0" w:space="0" w:color="auto"/>
              </w:divBdr>
              <w:divsChild>
                <w:div w:id="1773815078">
                  <w:marLeft w:val="0"/>
                  <w:marRight w:val="0"/>
                  <w:marTop w:val="0"/>
                  <w:marBottom w:val="0"/>
                  <w:divBdr>
                    <w:top w:val="none" w:sz="0" w:space="0" w:color="auto"/>
                    <w:left w:val="none" w:sz="0" w:space="0" w:color="auto"/>
                    <w:bottom w:val="none" w:sz="0" w:space="0" w:color="auto"/>
                    <w:right w:val="none" w:sz="0" w:space="0" w:color="auto"/>
                  </w:divBdr>
                </w:div>
              </w:divsChild>
            </w:div>
            <w:div w:id="18970531">
              <w:marLeft w:val="0"/>
              <w:marRight w:val="0"/>
              <w:marTop w:val="0"/>
              <w:marBottom w:val="0"/>
              <w:divBdr>
                <w:top w:val="none" w:sz="0" w:space="0" w:color="auto"/>
                <w:left w:val="none" w:sz="0" w:space="0" w:color="auto"/>
                <w:bottom w:val="none" w:sz="0" w:space="0" w:color="auto"/>
                <w:right w:val="none" w:sz="0" w:space="0" w:color="auto"/>
              </w:divBdr>
            </w:div>
            <w:div w:id="1300454028">
              <w:marLeft w:val="0"/>
              <w:marRight w:val="0"/>
              <w:marTop w:val="0"/>
              <w:marBottom w:val="0"/>
              <w:divBdr>
                <w:top w:val="none" w:sz="0" w:space="0" w:color="auto"/>
                <w:left w:val="none" w:sz="0" w:space="0" w:color="auto"/>
                <w:bottom w:val="none" w:sz="0" w:space="0" w:color="auto"/>
                <w:right w:val="none" w:sz="0" w:space="0" w:color="auto"/>
              </w:divBdr>
            </w:div>
            <w:div w:id="2109696437">
              <w:marLeft w:val="0"/>
              <w:marRight w:val="0"/>
              <w:marTop w:val="0"/>
              <w:marBottom w:val="0"/>
              <w:divBdr>
                <w:top w:val="none" w:sz="0" w:space="0" w:color="auto"/>
                <w:left w:val="none" w:sz="0" w:space="0" w:color="auto"/>
                <w:bottom w:val="none" w:sz="0" w:space="0" w:color="auto"/>
                <w:right w:val="none" w:sz="0" w:space="0" w:color="auto"/>
              </w:divBdr>
              <w:divsChild>
                <w:div w:id="1423143077">
                  <w:marLeft w:val="0"/>
                  <w:marRight w:val="0"/>
                  <w:marTop w:val="0"/>
                  <w:marBottom w:val="0"/>
                  <w:divBdr>
                    <w:top w:val="none" w:sz="0" w:space="0" w:color="auto"/>
                    <w:left w:val="none" w:sz="0" w:space="0" w:color="auto"/>
                    <w:bottom w:val="none" w:sz="0" w:space="0" w:color="auto"/>
                    <w:right w:val="none" w:sz="0" w:space="0" w:color="auto"/>
                  </w:divBdr>
                </w:div>
                <w:div w:id="280306433">
                  <w:marLeft w:val="0"/>
                  <w:marRight w:val="0"/>
                  <w:marTop w:val="0"/>
                  <w:marBottom w:val="0"/>
                  <w:divBdr>
                    <w:top w:val="none" w:sz="0" w:space="0" w:color="auto"/>
                    <w:left w:val="none" w:sz="0" w:space="0" w:color="auto"/>
                    <w:bottom w:val="none" w:sz="0" w:space="0" w:color="auto"/>
                    <w:right w:val="none" w:sz="0" w:space="0" w:color="auto"/>
                  </w:divBdr>
                </w:div>
              </w:divsChild>
            </w:div>
            <w:div w:id="1666976850">
              <w:marLeft w:val="0"/>
              <w:marRight w:val="0"/>
              <w:marTop w:val="0"/>
              <w:marBottom w:val="0"/>
              <w:divBdr>
                <w:top w:val="none" w:sz="0" w:space="0" w:color="auto"/>
                <w:left w:val="none" w:sz="0" w:space="0" w:color="auto"/>
                <w:bottom w:val="none" w:sz="0" w:space="0" w:color="auto"/>
                <w:right w:val="none" w:sz="0" w:space="0" w:color="auto"/>
              </w:divBdr>
            </w:div>
            <w:div w:id="1093893916">
              <w:marLeft w:val="0"/>
              <w:marRight w:val="0"/>
              <w:marTop w:val="0"/>
              <w:marBottom w:val="0"/>
              <w:divBdr>
                <w:top w:val="none" w:sz="0" w:space="0" w:color="auto"/>
                <w:left w:val="none" w:sz="0" w:space="0" w:color="auto"/>
                <w:bottom w:val="none" w:sz="0" w:space="0" w:color="auto"/>
                <w:right w:val="none" w:sz="0" w:space="0" w:color="auto"/>
              </w:divBdr>
            </w:div>
            <w:div w:id="461509193">
              <w:marLeft w:val="0"/>
              <w:marRight w:val="0"/>
              <w:marTop w:val="0"/>
              <w:marBottom w:val="0"/>
              <w:divBdr>
                <w:top w:val="none" w:sz="0" w:space="0" w:color="auto"/>
                <w:left w:val="none" w:sz="0" w:space="0" w:color="auto"/>
                <w:bottom w:val="none" w:sz="0" w:space="0" w:color="auto"/>
                <w:right w:val="none" w:sz="0" w:space="0" w:color="auto"/>
              </w:divBdr>
              <w:divsChild>
                <w:div w:id="2055032308">
                  <w:marLeft w:val="0"/>
                  <w:marRight w:val="0"/>
                  <w:marTop w:val="0"/>
                  <w:marBottom w:val="0"/>
                  <w:divBdr>
                    <w:top w:val="none" w:sz="0" w:space="0" w:color="auto"/>
                    <w:left w:val="none" w:sz="0" w:space="0" w:color="auto"/>
                    <w:bottom w:val="none" w:sz="0" w:space="0" w:color="auto"/>
                    <w:right w:val="none" w:sz="0" w:space="0" w:color="auto"/>
                  </w:divBdr>
                </w:div>
              </w:divsChild>
            </w:div>
            <w:div w:id="1964191670">
              <w:marLeft w:val="0"/>
              <w:marRight w:val="0"/>
              <w:marTop w:val="0"/>
              <w:marBottom w:val="0"/>
              <w:divBdr>
                <w:top w:val="none" w:sz="0" w:space="0" w:color="auto"/>
                <w:left w:val="none" w:sz="0" w:space="0" w:color="auto"/>
                <w:bottom w:val="none" w:sz="0" w:space="0" w:color="auto"/>
                <w:right w:val="none" w:sz="0" w:space="0" w:color="auto"/>
              </w:divBdr>
            </w:div>
            <w:div w:id="1964575755">
              <w:marLeft w:val="0"/>
              <w:marRight w:val="0"/>
              <w:marTop w:val="0"/>
              <w:marBottom w:val="0"/>
              <w:divBdr>
                <w:top w:val="none" w:sz="0" w:space="0" w:color="auto"/>
                <w:left w:val="none" w:sz="0" w:space="0" w:color="auto"/>
                <w:bottom w:val="none" w:sz="0" w:space="0" w:color="auto"/>
                <w:right w:val="none" w:sz="0" w:space="0" w:color="auto"/>
              </w:divBdr>
            </w:div>
            <w:div w:id="1008368155">
              <w:marLeft w:val="0"/>
              <w:marRight w:val="0"/>
              <w:marTop w:val="0"/>
              <w:marBottom w:val="0"/>
              <w:divBdr>
                <w:top w:val="none" w:sz="0" w:space="0" w:color="auto"/>
                <w:left w:val="none" w:sz="0" w:space="0" w:color="auto"/>
                <w:bottom w:val="none" w:sz="0" w:space="0" w:color="auto"/>
                <w:right w:val="none" w:sz="0" w:space="0" w:color="auto"/>
              </w:divBdr>
              <w:divsChild>
                <w:div w:id="246308612">
                  <w:marLeft w:val="0"/>
                  <w:marRight w:val="0"/>
                  <w:marTop w:val="0"/>
                  <w:marBottom w:val="0"/>
                  <w:divBdr>
                    <w:top w:val="none" w:sz="0" w:space="0" w:color="auto"/>
                    <w:left w:val="none" w:sz="0" w:space="0" w:color="auto"/>
                    <w:bottom w:val="none" w:sz="0" w:space="0" w:color="auto"/>
                    <w:right w:val="none" w:sz="0" w:space="0" w:color="auto"/>
                  </w:divBdr>
                </w:div>
              </w:divsChild>
            </w:div>
            <w:div w:id="1787239589">
              <w:marLeft w:val="0"/>
              <w:marRight w:val="0"/>
              <w:marTop w:val="0"/>
              <w:marBottom w:val="0"/>
              <w:divBdr>
                <w:top w:val="none" w:sz="0" w:space="0" w:color="auto"/>
                <w:left w:val="none" w:sz="0" w:space="0" w:color="auto"/>
                <w:bottom w:val="none" w:sz="0" w:space="0" w:color="auto"/>
                <w:right w:val="none" w:sz="0" w:space="0" w:color="auto"/>
              </w:divBdr>
              <w:divsChild>
                <w:div w:id="825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543">
          <w:marLeft w:val="0"/>
          <w:marRight w:val="0"/>
          <w:marTop w:val="0"/>
          <w:marBottom w:val="0"/>
          <w:divBdr>
            <w:top w:val="none" w:sz="0" w:space="0" w:color="auto"/>
            <w:left w:val="none" w:sz="0" w:space="0" w:color="auto"/>
            <w:bottom w:val="none" w:sz="0" w:space="0" w:color="auto"/>
            <w:right w:val="none" w:sz="0" w:space="0" w:color="auto"/>
          </w:divBdr>
        </w:div>
      </w:divsChild>
    </w:div>
    <w:div w:id="1016151445">
      <w:bodyDiv w:val="1"/>
      <w:marLeft w:val="0"/>
      <w:marRight w:val="0"/>
      <w:marTop w:val="0"/>
      <w:marBottom w:val="0"/>
      <w:divBdr>
        <w:top w:val="none" w:sz="0" w:space="0" w:color="auto"/>
        <w:left w:val="none" w:sz="0" w:space="0" w:color="auto"/>
        <w:bottom w:val="none" w:sz="0" w:space="0" w:color="auto"/>
        <w:right w:val="none" w:sz="0" w:space="0" w:color="auto"/>
      </w:divBdr>
    </w:div>
    <w:div w:id="1152065862">
      <w:bodyDiv w:val="1"/>
      <w:marLeft w:val="0"/>
      <w:marRight w:val="0"/>
      <w:marTop w:val="0"/>
      <w:marBottom w:val="0"/>
      <w:divBdr>
        <w:top w:val="none" w:sz="0" w:space="0" w:color="auto"/>
        <w:left w:val="none" w:sz="0" w:space="0" w:color="auto"/>
        <w:bottom w:val="none" w:sz="0" w:space="0" w:color="auto"/>
        <w:right w:val="none" w:sz="0" w:space="0" w:color="auto"/>
      </w:divBdr>
    </w:div>
    <w:div w:id="1246456697">
      <w:bodyDiv w:val="1"/>
      <w:marLeft w:val="0"/>
      <w:marRight w:val="0"/>
      <w:marTop w:val="0"/>
      <w:marBottom w:val="0"/>
      <w:divBdr>
        <w:top w:val="none" w:sz="0" w:space="0" w:color="auto"/>
        <w:left w:val="none" w:sz="0" w:space="0" w:color="auto"/>
        <w:bottom w:val="none" w:sz="0" w:space="0" w:color="auto"/>
        <w:right w:val="none" w:sz="0" w:space="0" w:color="auto"/>
      </w:divBdr>
    </w:div>
    <w:div w:id="1266421536">
      <w:bodyDiv w:val="1"/>
      <w:marLeft w:val="0"/>
      <w:marRight w:val="0"/>
      <w:marTop w:val="0"/>
      <w:marBottom w:val="0"/>
      <w:divBdr>
        <w:top w:val="none" w:sz="0" w:space="0" w:color="auto"/>
        <w:left w:val="none" w:sz="0" w:space="0" w:color="auto"/>
        <w:bottom w:val="none" w:sz="0" w:space="0" w:color="auto"/>
        <w:right w:val="none" w:sz="0" w:space="0" w:color="auto"/>
      </w:divBdr>
    </w:div>
    <w:div w:id="1269585093">
      <w:bodyDiv w:val="1"/>
      <w:marLeft w:val="0"/>
      <w:marRight w:val="0"/>
      <w:marTop w:val="0"/>
      <w:marBottom w:val="0"/>
      <w:divBdr>
        <w:top w:val="none" w:sz="0" w:space="0" w:color="auto"/>
        <w:left w:val="none" w:sz="0" w:space="0" w:color="auto"/>
        <w:bottom w:val="none" w:sz="0" w:space="0" w:color="auto"/>
        <w:right w:val="none" w:sz="0" w:space="0" w:color="auto"/>
      </w:divBdr>
    </w:div>
    <w:div w:id="1370299016">
      <w:bodyDiv w:val="1"/>
      <w:marLeft w:val="0"/>
      <w:marRight w:val="0"/>
      <w:marTop w:val="0"/>
      <w:marBottom w:val="0"/>
      <w:divBdr>
        <w:top w:val="none" w:sz="0" w:space="0" w:color="auto"/>
        <w:left w:val="none" w:sz="0" w:space="0" w:color="auto"/>
        <w:bottom w:val="none" w:sz="0" w:space="0" w:color="auto"/>
        <w:right w:val="none" w:sz="0" w:space="0" w:color="auto"/>
      </w:divBdr>
    </w:div>
    <w:div w:id="1631663274">
      <w:bodyDiv w:val="1"/>
      <w:marLeft w:val="0"/>
      <w:marRight w:val="0"/>
      <w:marTop w:val="0"/>
      <w:marBottom w:val="0"/>
      <w:divBdr>
        <w:top w:val="none" w:sz="0" w:space="0" w:color="auto"/>
        <w:left w:val="none" w:sz="0" w:space="0" w:color="auto"/>
        <w:bottom w:val="none" w:sz="0" w:space="0" w:color="auto"/>
        <w:right w:val="none" w:sz="0" w:space="0" w:color="auto"/>
      </w:divBdr>
    </w:div>
    <w:div w:id="1632831374">
      <w:bodyDiv w:val="1"/>
      <w:marLeft w:val="0"/>
      <w:marRight w:val="0"/>
      <w:marTop w:val="0"/>
      <w:marBottom w:val="0"/>
      <w:divBdr>
        <w:top w:val="none" w:sz="0" w:space="0" w:color="auto"/>
        <w:left w:val="none" w:sz="0" w:space="0" w:color="auto"/>
        <w:bottom w:val="none" w:sz="0" w:space="0" w:color="auto"/>
        <w:right w:val="none" w:sz="0" w:space="0" w:color="auto"/>
      </w:divBdr>
    </w:div>
    <w:div w:id="1658341746">
      <w:bodyDiv w:val="1"/>
      <w:marLeft w:val="0"/>
      <w:marRight w:val="0"/>
      <w:marTop w:val="0"/>
      <w:marBottom w:val="0"/>
      <w:divBdr>
        <w:top w:val="none" w:sz="0" w:space="0" w:color="auto"/>
        <w:left w:val="none" w:sz="0" w:space="0" w:color="auto"/>
        <w:bottom w:val="none" w:sz="0" w:space="0" w:color="auto"/>
        <w:right w:val="none" w:sz="0" w:space="0" w:color="auto"/>
      </w:divBdr>
    </w:div>
    <w:div w:id="1791629159">
      <w:bodyDiv w:val="1"/>
      <w:marLeft w:val="0"/>
      <w:marRight w:val="0"/>
      <w:marTop w:val="0"/>
      <w:marBottom w:val="0"/>
      <w:divBdr>
        <w:top w:val="none" w:sz="0" w:space="0" w:color="auto"/>
        <w:left w:val="none" w:sz="0" w:space="0" w:color="auto"/>
        <w:bottom w:val="none" w:sz="0" w:space="0" w:color="auto"/>
        <w:right w:val="none" w:sz="0" w:space="0" w:color="auto"/>
      </w:divBdr>
    </w:div>
    <w:div w:id="1874266769">
      <w:bodyDiv w:val="1"/>
      <w:marLeft w:val="0"/>
      <w:marRight w:val="0"/>
      <w:marTop w:val="0"/>
      <w:marBottom w:val="0"/>
      <w:divBdr>
        <w:top w:val="none" w:sz="0" w:space="0" w:color="auto"/>
        <w:left w:val="none" w:sz="0" w:space="0" w:color="auto"/>
        <w:bottom w:val="none" w:sz="0" w:space="0" w:color="auto"/>
        <w:right w:val="none" w:sz="0" w:space="0" w:color="auto"/>
      </w:divBdr>
    </w:div>
    <w:div w:id="1878081228">
      <w:bodyDiv w:val="1"/>
      <w:marLeft w:val="0"/>
      <w:marRight w:val="0"/>
      <w:marTop w:val="0"/>
      <w:marBottom w:val="0"/>
      <w:divBdr>
        <w:top w:val="none" w:sz="0" w:space="0" w:color="auto"/>
        <w:left w:val="none" w:sz="0" w:space="0" w:color="auto"/>
        <w:bottom w:val="none" w:sz="0" w:space="0" w:color="auto"/>
        <w:right w:val="none" w:sz="0" w:space="0" w:color="auto"/>
      </w:divBdr>
    </w:div>
    <w:div w:id="1901865496">
      <w:bodyDiv w:val="1"/>
      <w:marLeft w:val="0"/>
      <w:marRight w:val="0"/>
      <w:marTop w:val="0"/>
      <w:marBottom w:val="0"/>
      <w:divBdr>
        <w:top w:val="none" w:sz="0" w:space="0" w:color="auto"/>
        <w:left w:val="none" w:sz="0" w:space="0" w:color="auto"/>
        <w:bottom w:val="none" w:sz="0" w:space="0" w:color="auto"/>
        <w:right w:val="none" w:sz="0" w:space="0" w:color="auto"/>
      </w:divBdr>
    </w:div>
    <w:div w:id="1929921740">
      <w:bodyDiv w:val="1"/>
      <w:marLeft w:val="0"/>
      <w:marRight w:val="0"/>
      <w:marTop w:val="0"/>
      <w:marBottom w:val="0"/>
      <w:divBdr>
        <w:top w:val="none" w:sz="0" w:space="0" w:color="auto"/>
        <w:left w:val="none" w:sz="0" w:space="0" w:color="auto"/>
        <w:bottom w:val="none" w:sz="0" w:space="0" w:color="auto"/>
        <w:right w:val="none" w:sz="0" w:space="0" w:color="auto"/>
      </w:divBdr>
    </w:div>
    <w:div w:id="1975872311">
      <w:bodyDiv w:val="1"/>
      <w:marLeft w:val="0"/>
      <w:marRight w:val="0"/>
      <w:marTop w:val="0"/>
      <w:marBottom w:val="0"/>
      <w:divBdr>
        <w:top w:val="none" w:sz="0" w:space="0" w:color="auto"/>
        <w:left w:val="none" w:sz="0" w:space="0" w:color="auto"/>
        <w:bottom w:val="none" w:sz="0" w:space="0" w:color="auto"/>
        <w:right w:val="none" w:sz="0" w:space="0" w:color="auto"/>
      </w:divBdr>
    </w:div>
    <w:div w:id="20653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6ACA5E7-0E75-4CA9-B1E4-86FAA852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10</Pages>
  <Words>3303</Words>
  <Characters>18830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Lazio Service S.p.A.</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 Giuseppe Russo</dc:creator>
  <cp:lastModifiedBy>User</cp:lastModifiedBy>
  <cp:revision>61</cp:revision>
  <cp:lastPrinted>2017-07-13T09:35:00Z</cp:lastPrinted>
  <dcterms:created xsi:type="dcterms:W3CDTF">2018-09-06T14:23:00Z</dcterms:created>
  <dcterms:modified xsi:type="dcterms:W3CDTF">2021-01-01T09:51:00Z</dcterms:modified>
</cp:coreProperties>
</file>