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3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0043"/>
      </w:tblGrid>
      <w:tr w:rsidR="0033427B" w:rsidRPr="00CF7D02" w14:paraId="0E68A808" w14:textId="77777777" w:rsidTr="00F44700">
        <w:trPr>
          <w:trHeight w:val="4837"/>
        </w:trPr>
        <w:tc>
          <w:tcPr>
            <w:tcW w:w="10043" w:type="dxa"/>
            <w:vAlign w:val="center"/>
          </w:tcPr>
          <w:p w14:paraId="6EC515CF" w14:textId="77777777" w:rsidR="00E13A40" w:rsidRPr="000F37CD" w:rsidRDefault="00E13A40" w:rsidP="00E13A40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  <w:sz w:val="40"/>
                <w:szCs w:val="40"/>
              </w:rPr>
            </w:pPr>
            <w:r w:rsidRPr="000F37CD">
              <w:rPr>
                <w:rFonts w:ascii="Garamond" w:hAnsi="Garamond"/>
                <w:b/>
                <w:color w:val="0070C0"/>
                <w:sz w:val="40"/>
                <w:szCs w:val="40"/>
              </w:rPr>
              <w:t>Modello di Organizzazione, Gestione e Controllo</w:t>
            </w:r>
          </w:p>
          <w:p w14:paraId="19E2977E" w14:textId="77777777" w:rsidR="00E13A40" w:rsidRPr="000F37CD" w:rsidRDefault="00E13A40" w:rsidP="00E13A40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</w:rPr>
            </w:pPr>
            <w:r w:rsidRPr="000F37CD">
              <w:rPr>
                <w:rFonts w:ascii="Garamond" w:hAnsi="Garamond"/>
                <w:b/>
                <w:color w:val="0070C0"/>
              </w:rPr>
              <w:t>Ai sensi dell’art. 6, comma 1, lett. A) del D. Lgs. N. 231 dell’8 giugno 2001</w:t>
            </w:r>
          </w:p>
          <w:p w14:paraId="24DA88D4" w14:textId="77777777" w:rsidR="00E13A40" w:rsidRPr="000F37CD" w:rsidRDefault="00E13A40" w:rsidP="00E13A40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</w:rPr>
            </w:pPr>
            <w:r w:rsidRPr="000F37CD">
              <w:rPr>
                <w:rFonts w:ascii="Garamond" w:hAnsi="Garamond"/>
                <w:b/>
                <w:color w:val="0070C0"/>
              </w:rPr>
              <w:t>Integrato ai sensi del par. 3.1.1. del Piano Nazionale Anticorruzione con la L. 190/2012 e Decreti Collegati</w:t>
            </w:r>
          </w:p>
          <w:p w14:paraId="6EBFEE80" w14:textId="77777777" w:rsidR="00E13A40" w:rsidRPr="000F37CD" w:rsidRDefault="00E13A40" w:rsidP="00E13A40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 w:rsidRPr="000F37CD">
              <w:rPr>
                <w:rFonts w:ascii="Garamond" w:hAnsi="Garamond"/>
                <w:b/>
                <w:color w:val="0070C0"/>
                <w:sz w:val="28"/>
                <w:szCs w:val="28"/>
              </w:rPr>
              <w:t>Parte Speciale</w:t>
            </w:r>
          </w:p>
          <w:p w14:paraId="542D9B43" w14:textId="77777777" w:rsidR="00E13A40" w:rsidRPr="000F37CD" w:rsidRDefault="00E13A40" w:rsidP="00E13A40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</w:p>
          <w:p w14:paraId="74AA2F6E" w14:textId="77777777" w:rsidR="00E13A40" w:rsidRPr="000F37CD" w:rsidRDefault="00E13A40" w:rsidP="00E13A4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color w:val="0070C0"/>
                <w:sz w:val="36"/>
                <w:szCs w:val="36"/>
              </w:rPr>
            </w:pPr>
            <w:r w:rsidRPr="000F37CD">
              <w:rPr>
                <w:rFonts w:ascii="Garamond" w:hAnsi="Garamond" w:cs="Times New Roman"/>
                <w:b/>
                <w:color w:val="0070C0"/>
                <w:sz w:val="36"/>
                <w:szCs w:val="36"/>
              </w:rPr>
              <w:t>Allegato 2.4</w:t>
            </w:r>
          </w:p>
          <w:p w14:paraId="3FEA83D9" w14:textId="77777777" w:rsidR="00E13A40" w:rsidRPr="000F37CD" w:rsidRDefault="00E13A40" w:rsidP="00E13A4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color w:val="0070C0"/>
                <w:sz w:val="36"/>
                <w:szCs w:val="36"/>
              </w:rPr>
            </w:pPr>
            <w:r w:rsidRPr="000F37CD">
              <w:rPr>
                <w:rFonts w:ascii="Garamond" w:hAnsi="Garamond" w:cs="Times New Roman"/>
                <w:b/>
                <w:color w:val="0070C0"/>
                <w:sz w:val="36"/>
                <w:szCs w:val="36"/>
              </w:rPr>
              <w:t>REGOLE DI COMPORTAMENTO</w:t>
            </w:r>
          </w:p>
          <w:p w14:paraId="22D10376" w14:textId="77777777" w:rsidR="00E13A40" w:rsidRPr="000F37CD" w:rsidRDefault="00E13A40" w:rsidP="00E13A40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color w:val="0070C0"/>
                <w:sz w:val="36"/>
                <w:szCs w:val="36"/>
              </w:rPr>
            </w:pPr>
            <w:r w:rsidRPr="000F37CD">
              <w:rPr>
                <w:rFonts w:ascii="Garamond" w:hAnsi="Garamond" w:cs="Times New Roman"/>
                <w:b/>
                <w:color w:val="0070C0"/>
                <w:sz w:val="36"/>
                <w:szCs w:val="36"/>
              </w:rPr>
              <w:t xml:space="preserve"> CON I FORNITORI</w:t>
            </w:r>
          </w:p>
          <w:p w14:paraId="6067EFD5" w14:textId="477E815C" w:rsidR="0033427B" w:rsidRPr="00CF7D02" w:rsidRDefault="00E13A40" w:rsidP="00E13A40">
            <w:pPr>
              <w:tabs>
                <w:tab w:val="left" w:pos="4913"/>
                <w:tab w:val="left" w:pos="5018"/>
              </w:tabs>
              <w:jc w:val="center"/>
              <w:rPr>
                <w:rFonts w:ascii="Book Antiqua" w:hAnsi="Book Antiqua"/>
                <w:snapToGrid w:val="0"/>
                <w:szCs w:val="24"/>
              </w:rPr>
            </w:pPr>
            <w:r w:rsidRPr="000F37CD" w:rsidDel="003E073F">
              <w:rPr>
                <w:rFonts w:ascii="Garamond" w:hAnsi="Garamond" w:cs="Times New Roman"/>
                <w:color w:val="0070C0"/>
                <w:sz w:val="56"/>
                <w:szCs w:val="56"/>
              </w:rPr>
              <w:t xml:space="preserve"> </w:t>
            </w:r>
            <w:r w:rsidRPr="000F37CD">
              <w:rPr>
                <w:rFonts w:ascii="Garamond" w:hAnsi="Garamond" w:cs="Times New Roman"/>
                <w:b/>
                <w:color w:val="0070C0"/>
                <w:szCs w:val="24"/>
              </w:rPr>
              <w:t>Parte integrante della</w:t>
            </w:r>
            <w:r w:rsidRPr="000F37CD">
              <w:rPr>
                <w:rFonts w:ascii="Garamond" w:hAnsi="Garamond" w:cs="Times New Roman"/>
                <w:color w:val="0070C0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color w:val="0070C0"/>
                <w:sz w:val="24"/>
                <w:szCs w:val="24"/>
              </w:rPr>
              <w:t>Politica e Impegno Etico di ASP</w:t>
            </w:r>
          </w:p>
        </w:tc>
      </w:tr>
      <w:tr w:rsidR="007B0C05" w:rsidRPr="008550B1" w14:paraId="5E5605FA" w14:textId="77777777" w:rsidTr="008F19AF">
        <w:trPr>
          <w:trHeight w:val="7506"/>
        </w:trPr>
        <w:tc>
          <w:tcPr>
            <w:tcW w:w="10043" w:type="dxa"/>
          </w:tcPr>
          <w:p w14:paraId="52889F59" w14:textId="0A7988B4" w:rsidR="007B0C05" w:rsidRPr="007615E8" w:rsidRDefault="007B0C05" w:rsidP="007B0C0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B0C05" w:rsidRPr="009E58DA" w14:paraId="5489B33D" w14:textId="77777777" w:rsidTr="008F19AF">
        <w:trPr>
          <w:trHeight w:val="458"/>
        </w:trPr>
        <w:tc>
          <w:tcPr>
            <w:tcW w:w="10043" w:type="dxa"/>
          </w:tcPr>
          <w:p w14:paraId="0CEBFE5B" w14:textId="77777777" w:rsidR="007B0C05" w:rsidRPr="00BE291A" w:rsidRDefault="007B0C05" w:rsidP="007B0C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A676CAE" w14:textId="3499860C" w:rsidR="003E073F" w:rsidRPr="00E13A40" w:rsidRDefault="003E073F" w:rsidP="003E073F">
      <w:pPr>
        <w:jc w:val="both"/>
        <w:rPr>
          <w:rFonts w:ascii="Garamond" w:hAnsi="Garamond" w:cs="Times New Roman"/>
          <w:b/>
          <w:color w:val="0070C0"/>
        </w:rPr>
      </w:pPr>
      <w:bookmarkStart w:id="0" w:name="_Toc520714461"/>
      <w:bookmarkStart w:id="1" w:name="_Toc520729088"/>
      <w:bookmarkStart w:id="2" w:name="_Toc520729144"/>
      <w:bookmarkStart w:id="3" w:name="_Toc520729191"/>
      <w:bookmarkStart w:id="4" w:name="_Toc520803630"/>
      <w:bookmarkStart w:id="5" w:name="_Toc520803811"/>
      <w:bookmarkStart w:id="6" w:name="_Toc520803836"/>
      <w:bookmarkStart w:id="7" w:name="_Toc520803861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13A40">
        <w:rPr>
          <w:rFonts w:ascii="Garamond" w:hAnsi="Garamond" w:cs="Times New Roman"/>
          <w:b/>
          <w:color w:val="0070C0"/>
        </w:rPr>
        <w:t>Premessa</w:t>
      </w:r>
    </w:p>
    <w:p w14:paraId="7CC125D3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</w:rPr>
      </w:pPr>
      <w:r w:rsidRPr="00E13A40">
        <w:rPr>
          <w:rFonts w:ascii="Garamond" w:hAnsi="Garamond" w:cs="Times New Roman"/>
        </w:rPr>
        <w:t>La seguente sezione è dedicata ai rapporti con i fornitori e si pone l’obiettivo di definire i principi e i valori di base ai quali dovranno attenersi gli operatori economici, i professionisti legati da rapporti di lavoro subordinato, anche temporaneo, relativamente alle loro responsabilità nei confronti della Società, dei propri stakeholder, della salute e sicurezza per i lavoratori e dell’ambiente. In coordinamento con il Codice Etico le seguenti regole hanno l’obiettivo di improntare i rapporti con i fornitori su condizioni di parità e di rispetto reciproco, individuando criteri di selezione fondati sulla qualità e competitività dei servizi o beni offerti.</w:t>
      </w:r>
    </w:p>
    <w:p w14:paraId="40AB97DC" w14:textId="77777777" w:rsidR="003E073F" w:rsidRPr="00E13A40" w:rsidRDefault="003E073F" w:rsidP="00BE291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Garamond" w:hAnsi="Garamond" w:cs="Times New Roman"/>
          <w:b/>
          <w:color w:val="0070C0"/>
        </w:rPr>
      </w:pPr>
      <w:r w:rsidRPr="00E13A40">
        <w:rPr>
          <w:rFonts w:ascii="Garamond" w:hAnsi="Garamond" w:cs="Times New Roman"/>
          <w:b/>
          <w:color w:val="0070C0"/>
        </w:rPr>
        <w:t>Rapporti con i terzi</w:t>
      </w:r>
    </w:p>
    <w:p w14:paraId="11ED9802" w14:textId="75A0B7E3" w:rsidR="003E073F" w:rsidRPr="00E13A40" w:rsidRDefault="00E13A40" w:rsidP="00423918">
      <w:pPr>
        <w:spacing w:after="0" w:line="240" w:lineRule="auto"/>
        <w:jc w:val="both"/>
        <w:rPr>
          <w:rFonts w:ascii="Garamond" w:hAnsi="Garamond" w:cs="Times New Roman"/>
        </w:rPr>
      </w:pPr>
      <w:r w:rsidRPr="00E13A40">
        <w:rPr>
          <w:rFonts w:ascii="Garamond" w:hAnsi="Garamond" w:cs="Times New Roman"/>
          <w:b/>
        </w:rPr>
        <w:t>ASP</w:t>
      </w:r>
      <w:r w:rsidR="003E073F" w:rsidRPr="00E13A40">
        <w:rPr>
          <w:rFonts w:ascii="Garamond" w:hAnsi="Garamond" w:cs="Times New Roman"/>
        </w:rPr>
        <w:t xml:space="preserve"> nei rapporti commerciali con le imprese appaltatrici, osserva scrupolosamente la normativa di settore, i principi previsti dal presente documento e da specifici Regolamenti e procedure interne. </w:t>
      </w:r>
    </w:p>
    <w:p w14:paraId="62ED4A55" w14:textId="57AEC0AB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</w:rPr>
      </w:pPr>
      <w:r w:rsidRPr="00E13A40">
        <w:rPr>
          <w:rFonts w:ascii="Garamond" w:hAnsi="Garamond" w:cs="Times New Roman"/>
        </w:rPr>
        <w:t xml:space="preserve">In particolare, </w:t>
      </w:r>
      <w:r w:rsidR="00E13A40">
        <w:rPr>
          <w:rFonts w:ascii="Garamond" w:hAnsi="Garamond" w:cs="Times New Roman"/>
          <w:b/>
        </w:rPr>
        <w:t>ASP</w:t>
      </w:r>
      <w:r w:rsidR="007615E8" w:rsidRPr="00E13A40">
        <w:rPr>
          <w:rFonts w:ascii="Garamond" w:eastAsia="Gulim" w:hAnsi="Garamond"/>
        </w:rPr>
        <w:t xml:space="preserve"> </w:t>
      </w:r>
      <w:r w:rsidRPr="00E13A40">
        <w:rPr>
          <w:rFonts w:ascii="Garamond" w:hAnsi="Garamond" w:cs="Times New Roman"/>
        </w:rPr>
        <w:t xml:space="preserve">dovrà assicurare che: </w:t>
      </w:r>
    </w:p>
    <w:p w14:paraId="2A48BD93" w14:textId="77777777" w:rsidR="00BE291A" w:rsidRPr="00E13A40" w:rsidRDefault="00BE291A" w:rsidP="00423918">
      <w:pPr>
        <w:spacing w:after="0" w:line="240" w:lineRule="auto"/>
        <w:jc w:val="both"/>
        <w:rPr>
          <w:rFonts w:ascii="Garamond" w:hAnsi="Garamond" w:cs="Times New Roman"/>
        </w:rPr>
      </w:pPr>
    </w:p>
    <w:p w14:paraId="44499544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  <w:i/>
        </w:rPr>
        <w:t xml:space="preserve">▪ ciascuna procedura venga espletata nel rispetto delle più ampie condizioni di concorrenza non precludendo a nessun concorrente, in possesso dei requisiti richiesti la possibilità di competere per l’aggiudicazione della gara; eventuali deroghe a tale principio dovranno essere adeguatamente motivate; </w:t>
      </w:r>
    </w:p>
    <w:p w14:paraId="55F02B3E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</w:rPr>
        <w:t xml:space="preserve">▪ </w:t>
      </w:r>
      <w:r w:rsidRPr="00E13A40">
        <w:rPr>
          <w:rFonts w:ascii="Garamond" w:hAnsi="Garamond" w:cs="Times New Roman"/>
          <w:i/>
        </w:rPr>
        <w:t xml:space="preserve">la selezione avvenga esclusivamente in base a criteri oggettivi, quali ad esempio il prezzo, la qualità della fornitura offerta; </w:t>
      </w:r>
    </w:p>
    <w:p w14:paraId="79B7C5AF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</w:rPr>
        <w:t xml:space="preserve">▪ </w:t>
      </w:r>
      <w:r w:rsidRPr="00E13A40">
        <w:rPr>
          <w:rFonts w:ascii="Garamond" w:hAnsi="Garamond" w:cs="Times New Roman"/>
          <w:i/>
        </w:rPr>
        <w:t xml:space="preserve">i soggetti prescelti abbiano una reputazione ineccepibile e pertanto, prima della stipula contrattuale, dovrà essere verificato il possesso di tutti i requisiti, sia di ordine generale che speciale previsti dalla vigente normativa; </w:t>
      </w:r>
    </w:p>
    <w:p w14:paraId="1A27B473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  <w:i/>
        </w:rPr>
        <w:t xml:space="preserve">▪ nel caso di trattativa diretta, cioè con un unico interlocutore, l’offerta dovrà comunque essere vantaggiosa per la stazione appaltante e non potrà in alcun caso eccedere i prezzi di mercato; </w:t>
      </w:r>
    </w:p>
    <w:p w14:paraId="00426C95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  <w:i/>
        </w:rPr>
        <w:t xml:space="preserve">▪ non si induca un operatore economico a stipulare un contratto a lui sfavorevole lasciandogli intendere la possibilità di sottoscriverne uno a lui più vantaggioso; </w:t>
      </w:r>
    </w:p>
    <w:p w14:paraId="0F4C4A94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  <w:i/>
        </w:rPr>
        <w:t>▪ le informazioni date ai concorrenti siano sempre complete, veritiere e di facile comprensione;</w:t>
      </w:r>
    </w:p>
    <w:p w14:paraId="7CD5B6F4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  <w:i/>
        </w:rPr>
        <w:t xml:space="preserve">▪ i concorrenti siano informati, nel rispetto e con le modalità previste dalle norme vigenti, in tutte le fasi del rapporto sia esso precontrattuale che contrattuale; </w:t>
      </w:r>
    </w:p>
    <w:p w14:paraId="2DD896C6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  <w:i/>
        </w:rPr>
        <w:t xml:space="preserve">▪ l’acquisizione delle informazioni relative alla sfera soggettiva e ai dati personali dei concorrenti avvenga con mezzi leciti; </w:t>
      </w:r>
    </w:p>
    <w:p w14:paraId="691CF7C7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</w:rPr>
        <w:t xml:space="preserve">▪ </w:t>
      </w:r>
      <w:r w:rsidRPr="00E13A40">
        <w:rPr>
          <w:rFonts w:ascii="Garamond" w:hAnsi="Garamond" w:cs="Times New Roman"/>
          <w:i/>
        </w:rPr>
        <w:t xml:space="preserve">i contratti con i fornitori siano redatti nella forma prescritta dalle disposizioni di legge, dai regolamenti e procedure aziendali, e comunque per iscritto; </w:t>
      </w:r>
    </w:p>
    <w:p w14:paraId="175A82EF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  <w:i/>
        </w:rPr>
        <w:t xml:space="preserve">▪ il compenso da corrispondere sia esclusivamente commisurato alla quantità e qualità della fornitura erogata; </w:t>
      </w:r>
    </w:p>
    <w:p w14:paraId="065DC50C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  <w:i/>
        </w:rPr>
        <w:t xml:space="preserve">▪ il dipendente che segue l’esecuzione del contratto (cd. gestore del contratto) dovrà verificare con scrupolo e accuratezza l’avanzamento dei contratti verificando il rispetto della fornitura rispetto alle condizioni contrattuali e la corrispondenza dei dati riportati nelle fatture autorizzate al pagamento; </w:t>
      </w:r>
    </w:p>
    <w:p w14:paraId="55183BCB" w14:textId="75B335A6" w:rsidR="00186A8C" w:rsidRPr="00E13A40" w:rsidRDefault="003E073F" w:rsidP="00D47A7B">
      <w:pPr>
        <w:spacing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  <w:i/>
        </w:rPr>
        <w:t xml:space="preserve">▪ nei contratti sia inserita l’obbligazione espressa di attenersi ai principi </w:t>
      </w:r>
      <w:r w:rsidR="00D47A7B" w:rsidRPr="00E13A40">
        <w:rPr>
          <w:rFonts w:ascii="Garamond" w:hAnsi="Garamond"/>
          <w:i/>
        </w:rPr>
        <w:t xml:space="preserve">della Politica e Impegno Etico del PTPT e del </w:t>
      </w:r>
      <w:r w:rsidRPr="00E13A40">
        <w:rPr>
          <w:rFonts w:ascii="Garamond" w:hAnsi="Garamond" w:cs="Times New Roman"/>
          <w:i/>
        </w:rPr>
        <w:t xml:space="preserve">Modello 231, indicando quale sanzione a fronte di violazioni anche l’eventuale risoluzione del contratto e/o azioni di risarcimento danni. </w:t>
      </w:r>
    </w:p>
    <w:p w14:paraId="4C220A7D" w14:textId="77777777" w:rsidR="003E073F" w:rsidRPr="00E13A40" w:rsidRDefault="003E073F" w:rsidP="00BE291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Garamond" w:hAnsi="Garamond" w:cs="Times New Roman"/>
          <w:b/>
          <w:color w:val="0070C0"/>
        </w:rPr>
      </w:pPr>
      <w:r w:rsidRPr="00E13A40">
        <w:rPr>
          <w:rFonts w:ascii="Garamond" w:hAnsi="Garamond" w:cs="Times New Roman"/>
          <w:b/>
          <w:color w:val="0070C0"/>
        </w:rPr>
        <w:t xml:space="preserve">Rapporti con i professionisti e i consulenti esterni </w:t>
      </w:r>
    </w:p>
    <w:p w14:paraId="50F94D5A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</w:rPr>
      </w:pPr>
      <w:r w:rsidRPr="00E13A40">
        <w:rPr>
          <w:rFonts w:ascii="Garamond" w:hAnsi="Garamond" w:cs="Times New Roman"/>
        </w:rPr>
        <w:t xml:space="preserve">Il ricorso all’attività del professionista/consulente esterno dovrà essere motivato a cura del soggetto proponente con l’indicazione, in forma scritta, delle ragioni che stanno alla base della richiesta, in conformità alle disposizioni di legge, ai regolamenti e procedure aziendali. </w:t>
      </w:r>
    </w:p>
    <w:p w14:paraId="07195DC6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</w:rPr>
      </w:pPr>
      <w:r w:rsidRPr="00E13A40">
        <w:rPr>
          <w:rFonts w:ascii="Garamond" w:hAnsi="Garamond" w:cs="Times New Roman"/>
        </w:rPr>
        <w:t xml:space="preserve">Il professionista/consulente esterno sarà scelto sulla base di requisiti di serietà e affidabilità, avendo cura di considerare esclusivamente le competenze tecniche e le caratteristiche personali. </w:t>
      </w:r>
    </w:p>
    <w:p w14:paraId="732F33DE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</w:rPr>
      </w:pPr>
      <w:r w:rsidRPr="00E13A40">
        <w:rPr>
          <w:rFonts w:ascii="Garamond" w:hAnsi="Garamond" w:cs="Times New Roman"/>
        </w:rPr>
        <w:t xml:space="preserve">Gli accordi con i collaboratori esterni devono essere redatti nella forma prescritta dalle disposizioni vigenti dalle procedure aziendali, e comunque per iscritto. </w:t>
      </w:r>
    </w:p>
    <w:p w14:paraId="74E5BBAA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</w:rPr>
      </w:pPr>
      <w:r w:rsidRPr="00E13A40">
        <w:rPr>
          <w:rFonts w:ascii="Garamond" w:hAnsi="Garamond" w:cs="Times New Roman"/>
        </w:rPr>
        <w:t xml:space="preserve">In ogni caso, il compenso da corrispondere deve essere esclusivamente commisurato alla prestazione indicata in contratto e, comunque, alle capacità professionali e all’effettiva prestazione eseguita. </w:t>
      </w:r>
    </w:p>
    <w:p w14:paraId="2C5D57E1" w14:textId="1E32D926" w:rsidR="003E073F" w:rsidRPr="00E13A40" w:rsidRDefault="007615E8" w:rsidP="00423918">
      <w:pPr>
        <w:spacing w:after="0" w:line="240" w:lineRule="auto"/>
        <w:jc w:val="both"/>
        <w:rPr>
          <w:rFonts w:ascii="Garamond" w:hAnsi="Garamond" w:cs="Times New Roman"/>
        </w:rPr>
      </w:pPr>
      <w:r w:rsidRPr="00E13A40">
        <w:rPr>
          <w:rFonts w:ascii="Garamond" w:hAnsi="Garamond" w:cs="Times New Roman"/>
        </w:rPr>
        <w:t xml:space="preserve">Al personale </w:t>
      </w:r>
      <w:r w:rsidR="00E13A40">
        <w:rPr>
          <w:rFonts w:ascii="Garamond" w:hAnsi="Garamond" w:cs="Times New Roman"/>
        </w:rPr>
        <w:t xml:space="preserve">di </w:t>
      </w:r>
      <w:r w:rsidR="00E13A40" w:rsidRPr="00E13A40">
        <w:rPr>
          <w:rFonts w:ascii="Garamond" w:hAnsi="Garamond" w:cs="Times New Roman"/>
          <w:b/>
          <w:bCs/>
        </w:rPr>
        <w:t>ASP</w:t>
      </w:r>
      <w:r w:rsidRPr="00E13A40">
        <w:rPr>
          <w:rFonts w:ascii="Garamond" w:eastAsia="Gulim" w:hAnsi="Garamond"/>
        </w:rPr>
        <w:t xml:space="preserve"> </w:t>
      </w:r>
      <w:r w:rsidR="003E073F" w:rsidRPr="00E13A40">
        <w:rPr>
          <w:rFonts w:ascii="Garamond" w:hAnsi="Garamond" w:cs="Times New Roman"/>
        </w:rPr>
        <w:t xml:space="preserve">in rapporto alle proprie funzioni, è richiesto di: </w:t>
      </w:r>
    </w:p>
    <w:p w14:paraId="1401149A" w14:textId="77777777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</w:rPr>
        <w:t xml:space="preserve">▪ </w:t>
      </w:r>
      <w:r w:rsidRPr="00E13A40">
        <w:rPr>
          <w:rFonts w:ascii="Garamond" w:hAnsi="Garamond" w:cs="Times New Roman"/>
          <w:i/>
        </w:rPr>
        <w:t xml:space="preserve">rispettare i principi e le procedure interne per la selezione e la gestione del rapporto con il professionista/consulente esterno; </w:t>
      </w:r>
    </w:p>
    <w:p w14:paraId="088024D3" w14:textId="4509D852" w:rsidR="003E073F" w:rsidRPr="00E13A40" w:rsidRDefault="003E073F" w:rsidP="0042391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E13A40">
        <w:rPr>
          <w:rFonts w:ascii="Garamond" w:hAnsi="Garamond" w:cs="Times New Roman"/>
          <w:i/>
        </w:rPr>
        <w:lastRenderedPageBreak/>
        <w:t xml:space="preserve">▪ inserire nei contratti di collaborazione esterna l’obbligazione espressa di attenersi ai </w:t>
      </w:r>
      <w:r w:rsidR="00D47A7B" w:rsidRPr="00E13A40">
        <w:rPr>
          <w:rFonts w:ascii="Garamond" w:hAnsi="Garamond"/>
          <w:i/>
        </w:rPr>
        <w:t xml:space="preserve">della Politica e Impegno Etico del PTPT e del </w:t>
      </w:r>
      <w:r w:rsidR="00D47A7B" w:rsidRPr="00E13A40">
        <w:rPr>
          <w:rFonts w:ascii="Garamond" w:hAnsi="Garamond" w:cs="Times New Roman"/>
          <w:i/>
        </w:rPr>
        <w:t>Modello 231</w:t>
      </w:r>
      <w:r w:rsidRPr="00E13A40">
        <w:rPr>
          <w:rFonts w:ascii="Garamond" w:hAnsi="Garamond" w:cs="Times New Roman"/>
          <w:i/>
        </w:rPr>
        <w:t xml:space="preserve">, indicando quale sanzione a fronte di violazioni anche l’eventuale risoluzione del contratto e/o azioni di risarcimento danni. </w:t>
      </w:r>
    </w:p>
    <w:p w14:paraId="339E799B" w14:textId="77777777" w:rsidR="003E073F" w:rsidRPr="00E13A40" w:rsidRDefault="003E073F" w:rsidP="00BE291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Garamond" w:hAnsi="Garamond" w:cs="Times New Roman"/>
          <w:b/>
          <w:color w:val="0070C0"/>
        </w:rPr>
      </w:pPr>
      <w:r w:rsidRPr="00E13A40">
        <w:rPr>
          <w:rFonts w:ascii="Garamond" w:hAnsi="Garamond" w:cs="Times New Roman"/>
          <w:b/>
          <w:color w:val="0070C0"/>
        </w:rPr>
        <w:t xml:space="preserve">Rapporti con i dipendenti </w:t>
      </w:r>
    </w:p>
    <w:p w14:paraId="61AC0972" w14:textId="77777777" w:rsidR="003E073F" w:rsidRPr="00E13A40" w:rsidRDefault="003E073F" w:rsidP="00BE291A">
      <w:pPr>
        <w:spacing w:after="0" w:line="240" w:lineRule="auto"/>
        <w:jc w:val="both"/>
        <w:rPr>
          <w:rFonts w:ascii="Garamond" w:hAnsi="Garamond" w:cs="Times New Roman"/>
        </w:rPr>
      </w:pPr>
      <w:r w:rsidRPr="00E13A40">
        <w:rPr>
          <w:rFonts w:ascii="Garamond" w:hAnsi="Garamond" w:cs="Times New Roman"/>
        </w:rPr>
        <w:t xml:space="preserve">Il dipendente non dovrà, in ogni caso e per nessuna ragione, mettersi nelle condizioni di compromettere l’indipendenza del proprio giudizio, attuando comportamenti lesivi dei principi di imparzialità, correttezza e trasparenza nella gestione delle attività cui è preposto. </w:t>
      </w:r>
    </w:p>
    <w:p w14:paraId="1FF347F6" w14:textId="2BA86BF5" w:rsidR="003E073F" w:rsidRPr="00E13A40" w:rsidRDefault="003E073F" w:rsidP="00BE291A">
      <w:pPr>
        <w:spacing w:after="0" w:line="240" w:lineRule="auto"/>
        <w:jc w:val="both"/>
        <w:rPr>
          <w:rFonts w:ascii="Garamond" w:hAnsi="Garamond" w:cs="Times New Roman"/>
        </w:rPr>
      </w:pPr>
      <w:r w:rsidRPr="00E13A40">
        <w:rPr>
          <w:rFonts w:ascii="Garamond" w:hAnsi="Garamond" w:cs="Times New Roman"/>
        </w:rPr>
        <w:t xml:space="preserve">I dipendenti devono garantire la parità di trattamento delle imprese e devono astenersi dal compimento di qualsiasi atto arbitrario che possa produrre effetti negativi sulle stesse; non </w:t>
      </w:r>
      <w:r w:rsidRPr="00E13A40">
        <w:rPr>
          <w:rFonts w:ascii="Garamond" w:hAnsi="Garamond"/>
        </w:rPr>
        <w:t xml:space="preserve">devono </w:t>
      </w:r>
      <w:r w:rsidRPr="00E13A40">
        <w:rPr>
          <w:rFonts w:ascii="Garamond" w:hAnsi="Garamond" w:cs="Times New Roman"/>
        </w:rPr>
        <w:t>rifiutare o accordare ad alcuno</w:t>
      </w:r>
      <w:r w:rsidR="00E13A40">
        <w:rPr>
          <w:rFonts w:ascii="Garamond" w:hAnsi="Garamond" w:cs="Times New Roman"/>
        </w:rPr>
        <w:t xml:space="preserve"> </w:t>
      </w:r>
      <w:r w:rsidRPr="00E13A40">
        <w:rPr>
          <w:rFonts w:ascii="Garamond" w:hAnsi="Garamond" w:cs="Times New Roman"/>
        </w:rPr>
        <w:t xml:space="preserve">prestazioni o trattamenti che siano normalmente rifiutati o accordati ad altri. </w:t>
      </w:r>
    </w:p>
    <w:p w14:paraId="531C7146" w14:textId="77777777" w:rsidR="003E073F" w:rsidRPr="00E13A40" w:rsidRDefault="003E073F" w:rsidP="00BE291A">
      <w:pPr>
        <w:spacing w:after="0" w:line="240" w:lineRule="auto"/>
        <w:jc w:val="both"/>
        <w:rPr>
          <w:rFonts w:ascii="Garamond" w:hAnsi="Garamond" w:cs="Times New Roman"/>
        </w:rPr>
      </w:pPr>
      <w:r w:rsidRPr="00E13A40">
        <w:rPr>
          <w:rFonts w:ascii="Garamond" w:hAnsi="Garamond" w:cs="Times New Roman"/>
        </w:rPr>
        <w:t xml:space="preserve">I dipendenti devono mantenere assoluto riserbo durante il corso della procedura di selezione dei concorrenti, in particolare è fatto espresso divieto divulgare i nominativi delle imprese concorrenti fino all’aggiudicazione della gara. Tale divieto viene meno una volta conclusasi la procedura concorsuale poiché le informazioni relative alle società partecipanti assumono rilevanza esterna. </w:t>
      </w:r>
    </w:p>
    <w:p w14:paraId="77B96E32" w14:textId="77777777" w:rsidR="003E073F" w:rsidRPr="00E13A40" w:rsidRDefault="003E073F" w:rsidP="00BE291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Garamond" w:hAnsi="Garamond" w:cs="Times New Roman"/>
          <w:b/>
          <w:color w:val="0070C0"/>
        </w:rPr>
      </w:pPr>
      <w:r w:rsidRPr="00E13A40">
        <w:rPr>
          <w:rFonts w:ascii="Garamond" w:hAnsi="Garamond" w:cs="Times New Roman"/>
          <w:b/>
          <w:color w:val="0070C0"/>
        </w:rPr>
        <w:t xml:space="preserve">Protocollo in materia di legalità e appalti </w:t>
      </w:r>
    </w:p>
    <w:p w14:paraId="1FC560D0" w14:textId="50FC4E0C" w:rsidR="003E073F" w:rsidRPr="00E13A40" w:rsidRDefault="003E073F" w:rsidP="00BE291A">
      <w:pPr>
        <w:spacing w:after="0" w:line="240" w:lineRule="auto"/>
        <w:jc w:val="both"/>
        <w:rPr>
          <w:rFonts w:ascii="Garamond" w:hAnsi="Garamond" w:cs="Times New Roman"/>
        </w:rPr>
      </w:pPr>
      <w:r w:rsidRPr="00E13A40">
        <w:rPr>
          <w:rFonts w:ascii="Garamond" w:hAnsi="Garamond" w:cs="Times New Roman"/>
        </w:rPr>
        <w:t>Oltre ai</w:t>
      </w:r>
      <w:r w:rsidR="00B1105F" w:rsidRPr="00E13A40">
        <w:rPr>
          <w:rFonts w:ascii="Garamond" w:hAnsi="Garamond" w:cs="Times New Roman"/>
        </w:rPr>
        <w:t xml:space="preserve"> principi contenuti nel Codice E</w:t>
      </w:r>
      <w:r w:rsidRPr="00E13A40">
        <w:rPr>
          <w:rFonts w:ascii="Garamond" w:hAnsi="Garamond" w:cs="Times New Roman"/>
        </w:rPr>
        <w:t xml:space="preserve">tico e nelle presenti regole di comportamento, </w:t>
      </w:r>
      <w:r w:rsidR="00E13A40" w:rsidRPr="00E13A40">
        <w:rPr>
          <w:rFonts w:ascii="Garamond" w:hAnsi="Garamond" w:cs="Times New Roman"/>
          <w:b/>
          <w:bCs/>
        </w:rPr>
        <w:t>ASP</w:t>
      </w:r>
      <w:r w:rsidR="00BE291A" w:rsidRPr="00E13A40">
        <w:rPr>
          <w:rFonts w:ascii="Garamond" w:hAnsi="Garamond" w:cs="Times New Roman"/>
          <w:b/>
        </w:rPr>
        <w:t xml:space="preserve"> </w:t>
      </w:r>
      <w:r w:rsidRPr="00E13A40">
        <w:rPr>
          <w:rFonts w:ascii="Garamond" w:hAnsi="Garamond" w:cs="Times New Roman"/>
        </w:rPr>
        <w:t xml:space="preserve">richiede ai suoi fornitori il rispetto delle normative vigenti in materia di tutela dei lavoratori, sotto il profilo contrattuale, previdenziale di salute e di sicurezza sul lavoro, nonché il rispetto della normativa vigente in materia </w:t>
      </w:r>
      <w:r w:rsidR="00106267" w:rsidRPr="00E13A40">
        <w:rPr>
          <w:rFonts w:ascii="Garamond" w:hAnsi="Garamond" w:cs="Times New Roman"/>
        </w:rPr>
        <w:t xml:space="preserve">appalti e lavoro e servizi ed </w:t>
      </w:r>
      <w:r w:rsidRPr="00E13A40">
        <w:rPr>
          <w:rFonts w:ascii="Garamond" w:hAnsi="Garamond" w:cs="Times New Roman"/>
        </w:rPr>
        <w:t xml:space="preserve">ambientale. </w:t>
      </w:r>
    </w:p>
    <w:p w14:paraId="092B0073" w14:textId="77777777" w:rsidR="003E073F" w:rsidRPr="00E13A40" w:rsidRDefault="003E073F" w:rsidP="00BE291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Garamond" w:hAnsi="Garamond" w:cs="Times New Roman"/>
          <w:b/>
          <w:color w:val="0070C0"/>
        </w:rPr>
      </w:pPr>
      <w:r w:rsidRPr="00E13A40">
        <w:rPr>
          <w:rFonts w:ascii="Garamond" w:hAnsi="Garamond" w:cs="Times New Roman"/>
          <w:b/>
          <w:color w:val="0070C0"/>
        </w:rPr>
        <w:t>Sanzioni</w:t>
      </w:r>
    </w:p>
    <w:p w14:paraId="580E03F7" w14:textId="3E9FC721" w:rsidR="003E073F" w:rsidRPr="00E13A40" w:rsidRDefault="003E073F" w:rsidP="00BE291A">
      <w:pPr>
        <w:spacing w:after="0" w:line="240" w:lineRule="auto"/>
        <w:jc w:val="both"/>
        <w:rPr>
          <w:rFonts w:ascii="Garamond" w:hAnsi="Garamond"/>
        </w:rPr>
      </w:pPr>
      <w:r w:rsidRPr="00E13A40">
        <w:rPr>
          <w:rFonts w:ascii="Garamond" w:hAnsi="Garamond" w:cs="Times New Roman"/>
        </w:rPr>
        <w:t>In caso di violazione delle presenti regole di comportamento soggiacciono le medesime sanzioni applicabili in caso di violazioni del Codice Etico</w:t>
      </w:r>
      <w:r w:rsidRPr="00E13A40">
        <w:rPr>
          <w:rFonts w:ascii="Garamond" w:hAnsi="Garamond" w:cs="Times New Roman"/>
          <w:i/>
        </w:rPr>
        <w:t>.</w:t>
      </w:r>
    </w:p>
    <w:p w14:paraId="2CBB0355" w14:textId="77777777" w:rsidR="003E073F" w:rsidRPr="00E13A40" w:rsidRDefault="003E073F" w:rsidP="003E073F">
      <w:pPr>
        <w:jc w:val="both"/>
        <w:rPr>
          <w:rFonts w:ascii="Garamond" w:hAnsi="Garamond"/>
        </w:rPr>
      </w:pPr>
    </w:p>
    <w:p w14:paraId="2FC30CEC" w14:textId="77777777" w:rsidR="008C456A" w:rsidRDefault="008C456A" w:rsidP="008C456A">
      <w:pPr>
        <w:spacing w:line="276" w:lineRule="auto"/>
        <w:jc w:val="both"/>
      </w:pPr>
    </w:p>
    <w:sectPr w:rsidR="008C456A" w:rsidSect="0073082B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8CFF7" w14:textId="77777777" w:rsidR="004D5057" w:rsidRDefault="004D5057" w:rsidP="00971F4A">
      <w:pPr>
        <w:spacing w:after="0" w:line="240" w:lineRule="auto"/>
      </w:pPr>
      <w:r>
        <w:separator/>
      </w:r>
    </w:p>
  </w:endnote>
  <w:endnote w:type="continuationSeparator" w:id="0">
    <w:p w14:paraId="1EF6E117" w14:textId="77777777" w:rsidR="004D5057" w:rsidRDefault="004D5057" w:rsidP="0097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15845"/>
      <w:docPartObj>
        <w:docPartGallery w:val="Page Numbers (Bottom of Page)"/>
        <w:docPartUnique/>
      </w:docPartObj>
    </w:sdtPr>
    <w:sdtEndPr>
      <w:rPr>
        <w:rFonts w:ascii="Garamond" w:hAnsi="Garamond"/>
        <w:b/>
        <w:bCs/>
        <w:sz w:val="16"/>
        <w:szCs w:val="16"/>
      </w:rPr>
    </w:sdtEndPr>
    <w:sdtContent>
      <w:p w14:paraId="322CE620" w14:textId="3412BDF8" w:rsidR="00E13A40" w:rsidRPr="00E13A40" w:rsidRDefault="00E13A40">
        <w:pPr>
          <w:pStyle w:val="Pidipagina"/>
          <w:jc w:val="right"/>
          <w:rPr>
            <w:rFonts w:ascii="Garamond" w:hAnsi="Garamond"/>
            <w:b/>
            <w:bCs/>
            <w:sz w:val="16"/>
            <w:szCs w:val="16"/>
          </w:rPr>
        </w:pPr>
        <w:r w:rsidRPr="00E13A40">
          <w:rPr>
            <w:rFonts w:ascii="Garamond" w:hAnsi="Garamond"/>
            <w:b/>
            <w:bCs/>
            <w:sz w:val="16"/>
            <w:szCs w:val="16"/>
          </w:rPr>
          <w:fldChar w:fldCharType="begin"/>
        </w:r>
        <w:r w:rsidRPr="00E13A40">
          <w:rPr>
            <w:rFonts w:ascii="Garamond" w:hAnsi="Garamond"/>
            <w:b/>
            <w:bCs/>
            <w:sz w:val="16"/>
            <w:szCs w:val="16"/>
          </w:rPr>
          <w:instrText>PAGE   \* MERGEFORMAT</w:instrText>
        </w:r>
        <w:r w:rsidRPr="00E13A40">
          <w:rPr>
            <w:rFonts w:ascii="Garamond" w:hAnsi="Garamond"/>
            <w:b/>
            <w:bCs/>
            <w:sz w:val="16"/>
            <w:szCs w:val="16"/>
          </w:rPr>
          <w:fldChar w:fldCharType="separate"/>
        </w:r>
        <w:r w:rsidRPr="00E13A40">
          <w:rPr>
            <w:rFonts w:ascii="Garamond" w:hAnsi="Garamond"/>
            <w:b/>
            <w:bCs/>
            <w:sz w:val="16"/>
            <w:szCs w:val="16"/>
          </w:rPr>
          <w:t>2</w:t>
        </w:r>
        <w:r w:rsidRPr="00E13A40">
          <w:rPr>
            <w:rFonts w:ascii="Garamond" w:hAnsi="Garamond"/>
            <w:b/>
            <w:bCs/>
            <w:sz w:val="16"/>
            <w:szCs w:val="16"/>
          </w:rPr>
          <w:fldChar w:fldCharType="end"/>
        </w:r>
      </w:p>
    </w:sdtContent>
  </w:sdt>
  <w:p w14:paraId="74C69270" w14:textId="77777777" w:rsidR="00E13A40" w:rsidRDefault="00E13A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EFCC5" w14:textId="77777777" w:rsidR="004D5057" w:rsidRDefault="004D5057" w:rsidP="00971F4A">
      <w:pPr>
        <w:spacing w:after="0" w:line="240" w:lineRule="auto"/>
      </w:pPr>
      <w:r>
        <w:separator/>
      </w:r>
    </w:p>
  </w:footnote>
  <w:footnote w:type="continuationSeparator" w:id="0">
    <w:p w14:paraId="63743DB7" w14:textId="77777777" w:rsidR="004D5057" w:rsidRDefault="004D5057" w:rsidP="0097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3"/>
      <w:gridCol w:w="4780"/>
      <w:gridCol w:w="2247"/>
    </w:tblGrid>
    <w:tr w:rsidR="00E13A40" w14:paraId="062193E2" w14:textId="77777777" w:rsidTr="0029236E">
      <w:trPr>
        <w:cantSplit/>
        <w:trHeight w:val="951"/>
        <w:jc w:val="center"/>
      </w:trPr>
      <w:tc>
        <w:tcPr>
          <w:tcW w:w="215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316F841C" w14:textId="77777777" w:rsidR="00E13A40" w:rsidRDefault="00E13A40" w:rsidP="00E13A40">
          <w:r>
            <w:rPr>
              <w:noProof/>
            </w:rPr>
            <w:drawing>
              <wp:inline distT="0" distB="0" distL="0" distR="0" wp14:anchorId="5470809E" wp14:editId="7B030702">
                <wp:extent cx="1225550" cy="6858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  <w:vMerge w:val="restart"/>
          <w:tcBorders>
            <w:top w:val="single" w:sz="4" w:space="0" w:color="auto"/>
            <w:left w:val="single" w:sz="6" w:space="0" w:color="auto"/>
            <w:bottom w:val="nil"/>
            <w:right w:val="nil"/>
          </w:tcBorders>
          <w:vAlign w:val="center"/>
        </w:tcPr>
        <w:p w14:paraId="1E2BF034" w14:textId="77777777" w:rsidR="00E13A40" w:rsidRDefault="00E13A40" w:rsidP="00E13A40">
          <w:pPr>
            <w:jc w:val="center"/>
            <w:rPr>
              <w:rFonts w:cs="Arial"/>
              <w:b/>
              <w:sz w:val="24"/>
              <w:szCs w:val="24"/>
            </w:rPr>
          </w:pPr>
        </w:p>
        <w:p w14:paraId="16AAC00D" w14:textId="77777777" w:rsidR="00E13A40" w:rsidRPr="00E13A40" w:rsidRDefault="00E13A40" w:rsidP="00E13A40">
          <w:pPr>
            <w:spacing w:after="0" w:line="240" w:lineRule="auto"/>
            <w:jc w:val="center"/>
            <w:rPr>
              <w:rFonts w:ascii="Garamond" w:hAnsi="Garamond" w:cs="Arial"/>
              <w:b/>
              <w:sz w:val="16"/>
              <w:szCs w:val="16"/>
            </w:rPr>
          </w:pPr>
          <w:r w:rsidRPr="00E13A40">
            <w:rPr>
              <w:rFonts w:ascii="Garamond" w:hAnsi="Garamond" w:cs="Arial"/>
              <w:b/>
              <w:sz w:val="16"/>
              <w:szCs w:val="16"/>
            </w:rPr>
            <w:t>Modello di Organizzazione, Gestione e Controllo ex Decreto Legislativo 8 giugno 2001, n. 231</w:t>
          </w:r>
        </w:p>
        <w:p w14:paraId="2F967F4D" w14:textId="77777777" w:rsidR="00E13A40" w:rsidRPr="00E13A40" w:rsidRDefault="00E13A40" w:rsidP="00E13A40">
          <w:pPr>
            <w:spacing w:after="0" w:line="240" w:lineRule="auto"/>
            <w:jc w:val="center"/>
            <w:rPr>
              <w:rFonts w:ascii="Garamond" w:hAnsi="Garamond" w:cs="Times New Roman"/>
              <w:b/>
              <w:sz w:val="16"/>
              <w:szCs w:val="16"/>
            </w:rPr>
          </w:pPr>
          <w:r w:rsidRPr="00E13A40">
            <w:rPr>
              <w:rFonts w:ascii="Garamond" w:hAnsi="Garamond" w:cs="Times New Roman"/>
              <w:b/>
              <w:sz w:val="16"/>
              <w:szCs w:val="16"/>
            </w:rPr>
            <w:t>Allegato 2.4</w:t>
          </w:r>
        </w:p>
        <w:p w14:paraId="3B9E78E0" w14:textId="77777777" w:rsidR="00E13A40" w:rsidRPr="00E13A40" w:rsidRDefault="00E13A40" w:rsidP="00E13A40">
          <w:pPr>
            <w:spacing w:after="0" w:line="240" w:lineRule="auto"/>
            <w:jc w:val="center"/>
            <w:rPr>
              <w:rFonts w:ascii="Garamond" w:hAnsi="Garamond" w:cs="Times New Roman"/>
              <w:b/>
              <w:sz w:val="16"/>
              <w:szCs w:val="16"/>
            </w:rPr>
          </w:pPr>
          <w:r w:rsidRPr="00E13A40">
            <w:rPr>
              <w:rFonts w:ascii="Garamond" w:hAnsi="Garamond" w:cs="Times New Roman"/>
              <w:b/>
              <w:sz w:val="16"/>
              <w:szCs w:val="16"/>
            </w:rPr>
            <w:t>REGOLE DI COMPORTAMENTO</w:t>
          </w:r>
        </w:p>
        <w:p w14:paraId="4990034A" w14:textId="77777777" w:rsidR="00E13A40" w:rsidRPr="00E13A40" w:rsidRDefault="00E13A40" w:rsidP="00E13A40">
          <w:pPr>
            <w:spacing w:after="0" w:line="240" w:lineRule="auto"/>
            <w:jc w:val="center"/>
            <w:rPr>
              <w:rFonts w:ascii="Garamond" w:hAnsi="Garamond" w:cs="Times New Roman"/>
              <w:b/>
              <w:sz w:val="16"/>
              <w:szCs w:val="16"/>
            </w:rPr>
          </w:pPr>
          <w:r w:rsidRPr="00E13A40">
            <w:rPr>
              <w:rFonts w:ascii="Garamond" w:hAnsi="Garamond" w:cs="Times New Roman"/>
              <w:b/>
              <w:sz w:val="16"/>
              <w:szCs w:val="16"/>
            </w:rPr>
            <w:t>CON I FORNITORI</w:t>
          </w:r>
        </w:p>
        <w:p w14:paraId="34DB0686" w14:textId="77777777" w:rsidR="00E13A40" w:rsidRDefault="00E13A40" w:rsidP="00E13A40">
          <w:pPr>
            <w:spacing w:after="40"/>
            <w:jc w:val="center"/>
            <w:rPr>
              <w:rFonts w:ascii="Times New Roman" w:hAnsi="Times New Roman"/>
              <w:sz w:val="24"/>
            </w:rPr>
          </w:pPr>
          <w:r w:rsidRPr="00E13A40">
            <w:rPr>
              <w:rFonts w:ascii="Garamond" w:hAnsi="Garamond" w:cs="Times New Roman"/>
              <w:b/>
              <w:sz w:val="16"/>
              <w:szCs w:val="16"/>
            </w:rPr>
            <w:t>Parte integrante della</w:t>
          </w:r>
          <w:r w:rsidRPr="00E13A40">
            <w:rPr>
              <w:rFonts w:ascii="Garamond" w:hAnsi="Garamond" w:cs="Times New Roman"/>
              <w:sz w:val="16"/>
              <w:szCs w:val="16"/>
            </w:rPr>
            <w:t xml:space="preserve"> </w:t>
          </w:r>
          <w:r w:rsidRPr="00E13A40">
            <w:rPr>
              <w:rFonts w:ascii="Garamond" w:hAnsi="Garamond" w:cs="Times New Roman"/>
              <w:b/>
              <w:sz w:val="16"/>
              <w:szCs w:val="16"/>
            </w:rPr>
            <w:t>Politica e Impegno Etico di ASP</w:t>
          </w:r>
        </w:p>
      </w:tc>
      <w:tc>
        <w:tcPr>
          <w:tcW w:w="224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519617F3" w14:textId="77777777" w:rsidR="00E13A40" w:rsidRDefault="00E13A40" w:rsidP="00E13A40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8"/>
            </w:rPr>
          </w:pPr>
          <w:r>
            <w:rPr>
              <w:b/>
              <w:bCs/>
              <w:noProof/>
            </w:rPr>
            <w:t>Azienda Servizi pubblici S.p.A. (ASP)</w:t>
          </w:r>
        </w:p>
      </w:tc>
    </w:tr>
    <w:tr w:rsidR="00E13A40" w14:paraId="094E16D8" w14:textId="77777777" w:rsidTr="0029236E">
      <w:trPr>
        <w:cantSplit/>
        <w:trHeight w:val="719"/>
        <w:jc w:val="center"/>
      </w:trPr>
      <w:tc>
        <w:tcPr>
          <w:tcW w:w="6938" w:type="dxa"/>
          <w:vMerge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5132E6F8" w14:textId="77777777" w:rsidR="00E13A40" w:rsidRDefault="00E13A40" w:rsidP="00E13A40">
          <w:pPr>
            <w:spacing w:after="0"/>
          </w:pPr>
        </w:p>
      </w:tc>
      <w:tc>
        <w:tcPr>
          <w:tcW w:w="4783" w:type="dxa"/>
          <w:vMerge/>
          <w:tcBorders>
            <w:top w:val="single" w:sz="4" w:space="0" w:color="auto"/>
            <w:left w:val="single" w:sz="6" w:space="0" w:color="auto"/>
            <w:bottom w:val="nil"/>
            <w:right w:val="nil"/>
          </w:tcBorders>
          <w:vAlign w:val="center"/>
          <w:hideMark/>
        </w:tcPr>
        <w:p w14:paraId="28D395D5" w14:textId="77777777" w:rsidR="00E13A40" w:rsidRDefault="00E13A40" w:rsidP="00E13A40">
          <w:pPr>
            <w:spacing w:after="0"/>
            <w:rPr>
              <w:rFonts w:ascii="Times New Roman" w:hAnsi="Times New Roman"/>
              <w:sz w:val="24"/>
            </w:rPr>
          </w:pPr>
        </w:p>
      </w:tc>
      <w:tc>
        <w:tcPr>
          <w:tcW w:w="2248" w:type="dxa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5827C8C5" w14:textId="77777777" w:rsidR="00E13A40" w:rsidRDefault="00E13A40" w:rsidP="00E13A40">
          <w:pPr>
            <w:spacing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Approvato in data:</w:t>
          </w:r>
          <w:r>
            <w:rPr>
              <w:rFonts w:ascii="Times New Roman" w:hAnsi="Times New Roman"/>
              <w:b/>
              <w:caps/>
              <w:sz w:val="18"/>
              <w:szCs w:val="18"/>
            </w:rPr>
            <w:t xml:space="preserve"> </w:t>
          </w:r>
        </w:p>
      </w:tc>
    </w:tr>
    <w:tr w:rsidR="00E13A40" w14:paraId="1C9D2A67" w14:textId="77777777" w:rsidTr="0029236E">
      <w:trPr>
        <w:cantSplit/>
        <w:trHeight w:val="65"/>
        <w:jc w:val="center"/>
      </w:trPr>
      <w:tc>
        <w:tcPr>
          <w:tcW w:w="6938" w:type="dxa"/>
          <w:gridSpan w:val="2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  <w:vAlign w:val="center"/>
        </w:tcPr>
        <w:p w14:paraId="13CF17D1" w14:textId="77777777" w:rsidR="00E13A40" w:rsidRDefault="00E13A40" w:rsidP="00E13A40">
          <w:pPr>
            <w:rPr>
              <w:rFonts w:ascii="Times New Roman" w:hAnsi="Times New Roman"/>
              <w:b/>
              <w:sz w:val="18"/>
            </w:rPr>
          </w:pPr>
        </w:p>
      </w:tc>
      <w:tc>
        <w:tcPr>
          <w:tcW w:w="224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0AD15B03" w14:textId="77777777" w:rsidR="00E13A40" w:rsidRDefault="00E13A40" w:rsidP="00E13A40">
          <w:pPr>
            <w:spacing w:line="240" w:lineRule="auto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Pagina: </w:t>
          </w:r>
          <w:r>
            <w:rPr>
              <w:rFonts w:cs="Arial"/>
              <w:b/>
              <w:sz w:val="18"/>
              <w:szCs w:val="18"/>
            </w:rPr>
            <w:fldChar w:fldCharType="begin"/>
          </w:r>
          <w:r>
            <w:rPr>
              <w:rFonts w:cs="Arial"/>
              <w:b/>
              <w:sz w:val="18"/>
              <w:szCs w:val="18"/>
            </w:rPr>
            <w:instrText xml:space="preserve"> PAGE  \* MERGEFORMAT </w:instrText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sz w:val="18"/>
              <w:szCs w:val="18"/>
            </w:rPr>
            <w:t>1</w:t>
          </w:r>
          <w:r>
            <w:rPr>
              <w:rFonts w:cs="Arial"/>
              <w:b/>
              <w:sz w:val="18"/>
              <w:szCs w:val="18"/>
            </w:rPr>
            <w:fldChar w:fldCharType="end"/>
          </w:r>
          <w:r>
            <w:rPr>
              <w:rFonts w:cs="Arial"/>
              <w:b/>
              <w:sz w:val="18"/>
              <w:szCs w:val="18"/>
            </w:rPr>
            <w:t xml:space="preserve"> di </w:t>
          </w:r>
          <w:r>
            <w:rPr>
              <w:rFonts w:cs="Arial"/>
              <w:b/>
              <w:sz w:val="18"/>
              <w:szCs w:val="18"/>
            </w:rPr>
            <w:fldChar w:fldCharType="begin"/>
          </w:r>
          <w:r>
            <w:rPr>
              <w:rFonts w:cs="Arial"/>
              <w:b/>
              <w:sz w:val="18"/>
              <w:szCs w:val="18"/>
            </w:rPr>
            <w:instrText xml:space="preserve"> NUMPAGES  \* MERGEFORMAT </w:instrText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sz w:val="18"/>
              <w:szCs w:val="18"/>
            </w:rPr>
            <w:t>10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14:paraId="1CEF2976" w14:textId="77777777" w:rsidR="00E13A40" w:rsidRPr="00E13A40" w:rsidRDefault="00E13A4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3"/>
      <w:gridCol w:w="4780"/>
      <w:gridCol w:w="2247"/>
    </w:tblGrid>
    <w:tr w:rsidR="00E13A40" w14:paraId="1C8AEEC4" w14:textId="77777777" w:rsidTr="00E13A40">
      <w:trPr>
        <w:cantSplit/>
        <w:trHeight w:val="951"/>
        <w:jc w:val="center"/>
      </w:trPr>
      <w:tc>
        <w:tcPr>
          <w:tcW w:w="215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5BD295A4" w14:textId="2D6245AF" w:rsidR="00E13A40" w:rsidRDefault="00E13A40" w:rsidP="00E13A40">
          <w:r>
            <w:rPr>
              <w:noProof/>
            </w:rPr>
            <w:drawing>
              <wp:inline distT="0" distB="0" distL="0" distR="0" wp14:anchorId="1319B21C" wp14:editId="7D51276C">
                <wp:extent cx="1225550" cy="685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  <w:vMerge w:val="restart"/>
          <w:tcBorders>
            <w:top w:val="single" w:sz="4" w:space="0" w:color="auto"/>
            <w:left w:val="single" w:sz="6" w:space="0" w:color="auto"/>
            <w:bottom w:val="nil"/>
            <w:right w:val="nil"/>
          </w:tcBorders>
          <w:vAlign w:val="center"/>
        </w:tcPr>
        <w:p w14:paraId="38C39AA2" w14:textId="77777777" w:rsidR="00E13A40" w:rsidRDefault="00E13A40" w:rsidP="00E13A40">
          <w:pPr>
            <w:jc w:val="center"/>
            <w:rPr>
              <w:rFonts w:cs="Arial"/>
              <w:b/>
              <w:sz w:val="24"/>
              <w:szCs w:val="24"/>
            </w:rPr>
          </w:pPr>
        </w:p>
        <w:p w14:paraId="430FFB77" w14:textId="77777777" w:rsidR="00E13A40" w:rsidRPr="00E13A40" w:rsidRDefault="00E13A40" w:rsidP="00E13A40">
          <w:pPr>
            <w:spacing w:after="0" w:line="240" w:lineRule="auto"/>
            <w:jc w:val="center"/>
            <w:rPr>
              <w:rFonts w:ascii="Garamond" w:hAnsi="Garamond" w:cs="Arial"/>
              <w:b/>
              <w:sz w:val="16"/>
              <w:szCs w:val="16"/>
            </w:rPr>
          </w:pPr>
          <w:r w:rsidRPr="00E13A40">
            <w:rPr>
              <w:rFonts w:ascii="Garamond" w:hAnsi="Garamond" w:cs="Arial"/>
              <w:b/>
              <w:sz w:val="16"/>
              <w:szCs w:val="16"/>
            </w:rPr>
            <w:t>Modello di Organizzazione, Gestione e Controllo ex Decreto Legislativo 8 giugno 2001, n. 231</w:t>
          </w:r>
        </w:p>
        <w:p w14:paraId="67953A0F" w14:textId="77777777" w:rsidR="00E13A40" w:rsidRPr="00E13A40" w:rsidRDefault="00E13A40" w:rsidP="00E13A40">
          <w:pPr>
            <w:spacing w:after="0" w:line="240" w:lineRule="auto"/>
            <w:jc w:val="center"/>
            <w:rPr>
              <w:rFonts w:ascii="Garamond" w:hAnsi="Garamond" w:cs="Times New Roman"/>
              <w:b/>
              <w:sz w:val="16"/>
              <w:szCs w:val="16"/>
            </w:rPr>
          </w:pPr>
          <w:r w:rsidRPr="00E13A40">
            <w:rPr>
              <w:rFonts w:ascii="Garamond" w:hAnsi="Garamond" w:cs="Times New Roman"/>
              <w:b/>
              <w:sz w:val="16"/>
              <w:szCs w:val="16"/>
            </w:rPr>
            <w:t>Allegato 2.4</w:t>
          </w:r>
        </w:p>
        <w:p w14:paraId="62E13999" w14:textId="77777777" w:rsidR="00E13A40" w:rsidRPr="00E13A40" w:rsidRDefault="00E13A40" w:rsidP="00E13A40">
          <w:pPr>
            <w:spacing w:after="0" w:line="240" w:lineRule="auto"/>
            <w:jc w:val="center"/>
            <w:rPr>
              <w:rFonts w:ascii="Garamond" w:hAnsi="Garamond" w:cs="Times New Roman"/>
              <w:b/>
              <w:sz w:val="16"/>
              <w:szCs w:val="16"/>
            </w:rPr>
          </w:pPr>
          <w:r w:rsidRPr="00E13A40">
            <w:rPr>
              <w:rFonts w:ascii="Garamond" w:hAnsi="Garamond" w:cs="Times New Roman"/>
              <w:b/>
              <w:sz w:val="16"/>
              <w:szCs w:val="16"/>
            </w:rPr>
            <w:t>REGOLE DI COMPORTAMENTO</w:t>
          </w:r>
        </w:p>
        <w:p w14:paraId="756B8EDA" w14:textId="0913576B" w:rsidR="00E13A40" w:rsidRPr="00E13A40" w:rsidRDefault="00E13A40" w:rsidP="00E13A40">
          <w:pPr>
            <w:spacing w:after="0" w:line="240" w:lineRule="auto"/>
            <w:jc w:val="center"/>
            <w:rPr>
              <w:rFonts w:ascii="Garamond" w:hAnsi="Garamond" w:cs="Times New Roman"/>
              <w:b/>
              <w:sz w:val="16"/>
              <w:szCs w:val="16"/>
            </w:rPr>
          </w:pPr>
          <w:r w:rsidRPr="00E13A40">
            <w:rPr>
              <w:rFonts w:ascii="Garamond" w:hAnsi="Garamond" w:cs="Times New Roman"/>
              <w:b/>
              <w:sz w:val="16"/>
              <w:szCs w:val="16"/>
            </w:rPr>
            <w:t>CON I FORNITORI</w:t>
          </w:r>
        </w:p>
        <w:p w14:paraId="3A7039DF" w14:textId="0A5831F0" w:rsidR="00E13A40" w:rsidRDefault="00E13A40" w:rsidP="00E13A40">
          <w:pPr>
            <w:spacing w:after="40"/>
            <w:jc w:val="center"/>
            <w:rPr>
              <w:rFonts w:ascii="Times New Roman" w:hAnsi="Times New Roman"/>
              <w:sz w:val="24"/>
            </w:rPr>
          </w:pPr>
          <w:r w:rsidRPr="00E13A40">
            <w:rPr>
              <w:rFonts w:ascii="Garamond" w:hAnsi="Garamond" w:cs="Times New Roman"/>
              <w:b/>
              <w:sz w:val="16"/>
              <w:szCs w:val="16"/>
            </w:rPr>
            <w:t>Parte integrante della</w:t>
          </w:r>
          <w:r w:rsidRPr="00E13A40">
            <w:rPr>
              <w:rFonts w:ascii="Garamond" w:hAnsi="Garamond" w:cs="Times New Roman"/>
              <w:sz w:val="16"/>
              <w:szCs w:val="16"/>
            </w:rPr>
            <w:t xml:space="preserve"> </w:t>
          </w:r>
          <w:r w:rsidRPr="00E13A40">
            <w:rPr>
              <w:rFonts w:ascii="Garamond" w:hAnsi="Garamond" w:cs="Times New Roman"/>
              <w:b/>
              <w:sz w:val="16"/>
              <w:szCs w:val="16"/>
            </w:rPr>
            <w:t>Politica e Impegno Etico di ASP</w:t>
          </w:r>
        </w:p>
      </w:tc>
      <w:tc>
        <w:tcPr>
          <w:tcW w:w="224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7E68FBA5" w14:textId="77777777" w:rsidR="00E13A40" w:rsidRDefault="00E13A40" w:rsidP="00E13A40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8"/>
            </w:rPr>
          </w:pPr>
          <w:r>
            <w:rPr>
              <w:b/>
              <w:bCs/>
              <w:noProof/>
            </w:rPr>
            <w:t>Azienda Servizi pubblici S.p.A. (ASP)</w:t>
          </w:r>
        </w:p>
      </w:tc>
    </w:tr>
    <w:tr w:rsidR="00E13A40" w14:paraId="786241FB" w14:textId="77777777" w:rsidTr="00E13A40">
      <w:trPr>
        <w:cantSplit/>
        <w:trHeight w:val="719"/>
        <w:jc w:val="center"/>
      </w:trPr>
      <w:tc>
        <w:tcPr>
          <w:tcW w:w="6938" w:type="dxa"/>
          <w:vMerge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18F69891" w14:textId="77777777" w:rsidR="00E13A40" w:rsidRDefault="00E13A40" w:rsidP="00E13A40">
          <w:pPr>
            <w:spacing w:after="0"/>
          </w:pPr>
        </w:p>
      </w:tc>
      <w:tc>
        <w:tcPr>
          <w:tcW w:w="4783" w:type="dxa"/>
          <w:vMerge/>
          <w:tcBorders>
            <w:top w:val="single" w:sz="4" w:space="0" w:color="auto"/>
            <w:left w:val="single" w:sz="6" w:space="0" w:color="auto"/>
            <w:bottom w:val="nil"/>
            <w:right w:val="nil"/>
          </w:tcBorders>
          <w:vAlign w:val="center"/>
          <w:hideMark/>
        </w:tcPr>
        <w:p w14:paraId="4747B177" w14:textId="77777777" w:rsidR="00E13A40" w:rsidRDefault="00E13A40" w:rsidP="00E13A40">
          <w:pPr>
            <w:spacing w:after="0"/>
            <w:rPr>
              <w:rFonts w:ascii="Times New Roman" w:hAnsi="Times New Roman"/>
              <w:sz w:val="24"/>
            </w:rPr>
          </w:pPr>
        </w:p>
      </w:tc>
      <w:tc>
        <w:tcPr>
          <w:tcW w:w="2248" w:type="dxa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24700450" w14:textId="77777777" w:rsidR="00E13A40" w:rsidRDefault="00E13A40" w:rsidP="00E13A40">
          <w:pPr>
            <w:spacing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Approvato in data:</w:t>
          </w:r>
          <w:r>
            <w:rPr>
              <w:rFonts w:ascii="Times New Roman" w:hAnsi="Times New Roman"/>
              <w:b/>
              <w:caps/>
              <w:sz w:val="18"/>
              <w:szCs w:val="18"/>
            </w:rPr>
            <w:t xml:space="preserve"> </w:t>
          </w:r>
        </w:p>
      </w:tc>
    </w:tr>
    <w:tr w:rsidR="00E13A40" w14:paraId="028BC1EF" w14:textId="77777777" w:rsidTr="00E13A40">
      <w:trPr>
        <w:cantSplit/>
        <w:trHeight w:val="65"/>
        <w:jc w:val="center"/>
      </w:trPr>
      <w:tc>
        <w:tcPr>
          <w:tcW w:w="6938" w:type="dxa"/>
          <w:gridSpan w:val="2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  <w:vAlign w:val="center"/>
        </w:tcPr>
        <w:p w14:paraId="6C8A40FA" w14:textId="77777777" w:rsidR="00E13A40" w:rsidRDefault="00E13A40" w:rsidP="00E13A40">
          <w:pPr>
            <w:rPr>
              <w:rFonts w:ascii="Times New Roman" w:hAnsi="Times New Roman"/>
              <w:b/>
              <w:sz w:val="18"/>
            </w:rPr>
          </w:pPr>
        </w:p>
      </w:tc>
      <w:tc>
        <w:tcPr>
          <w:tcW w:w="224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0EEBAE56" w14:textId="77777777" w:rsidR="00E13A40" w:rsidRDefault="00E13A40" w:rsidP="00E13A40">
          <w:pPr>
            <w:spacing w:line="240" w:lineRule="auto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Pagina: </w:t>
          </w:r>
          <w:r>
            <w:rPr>
              <w:rFonts w:cs="Arial"/>
              <w:b/>
              <w:sz w:val="18"/>
              <w:szCs w:val="18"/>
            </w:rPr>
            <w:fldChar w:fldCharType="begin"/>
          </w:r>
          <w:r>
            <w:rPr>
              <w:rFonts w:cs="Arial"/>
              <w:b/>
              <w:sz w:val="18"/>
              <w:szCs w:val="18"/>
            </w:rPr>
            <w:instrText xml:space="preserve"> PAGE  \* MERGEFORMAT </w:instrText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sz w:val="18"/>
              <w:szCs w:val="18"/>
            </w:rPr>
            <w:t>1</w:t>
          </w:r>
          <w:r>
            <w:rPr>
              <w:rFonts w:cs="Arial"/>
              <w:b/>
              <w:sz w:val="18"/>
              <w:szCs w:val="18"/>
            </w:rPr>
            <w:fldChar w:fldCharType="end"/>
          </w:r>
          <w:r>
            <w:rPr>
              <w:rFonts w:cs="Arial"/>
              <w:b/>
              <w:sz w:val="18"/>
              <w:szCs w:val="18"/>
            </w:rPr>
            <w:t xml:space="preserve"> di </w:t>
          </w:r>
          <w:r>
            <w:rPr>
              <w:rFonts w:cs="Arial"/>
              <w:b/>
              <w:sz w:val="18"/>
              <w:szCs w:val="18"/>
            </w:rPr>
            <w:fldChar w:fldCharType="begin"/>
          </w:r>
          <w:r>
            <w:rPr>
              <w:rFonts w:cs="Arial"/>
              <w:b/>
              <w:sz w:val="18"/>
              <w:szCs w:val="18"/>
            </w:rPr>
            <w:instrText xml:space="preserve"> NUMPAGES  \* MERGEFORMAT </w:instrText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sz w:val="18"/>
              <w:szCs w:val="18"/>
            </w:rPr>
            <w:t>10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14:paraId="3DEE8242" w14:textId="2542A7BD" w:rsidR="00D47A7B" w:rsidRPr="00D47A7B" w:rsidRDefault="00D47A7B" w:rsidP="00D47A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C388B"/>
    <w:multiLevelType w:val="hybridMultilevel"/>
    <w:tmpl w:val="674C57A0"/>
    <w:lvl w:ilvl="0" w:tplc="7FDC98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417AE"/>
    <w:multiLevelType w:val="multilevel"/>
    <w:tmpl w:val="3A0A255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65110186"/>
    <w:multiLevelType w:val="multilevel"/>
    <w:tmpl w:val="64CA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23"/>
    <w:rsid w:val="0002127B"/>
    <w:rsid w:val="00023AEC"/>
    <w:rsid w:val="00055D05"/>
    <w:rsid w:val="00072B8F"/>
    <w:rsid w:val="00094B62"/>
    <w:rsid w:val="000A401A"/>
    <w:rsid w:val="001054E0"/>
    <w:rsid w:val="00106267"/>
    <w:rsid w:val="001275E4"/>
    <w:rsid w:val="001554D7"/>
    <w:rsid w:val="0016680E"/>
    <w:rsid w:val="00167DA6"/>
    <w:rsid w:val="0018642C"/>
    <w:rsid w:val="00186A8C"/>
    <w:rsid w:val="00195527"/>
    <w:rsid w:val="001A0032"/>
    <w:rsid w:val="001A56A0"/>
    <w:rsid w:val="001B0EBC"/>
    <w:rsid w:val="001F75AC"/>
    <w:rsid w:val="00215574"/>
    <w:rsid w:val="00215E02"/>
    <w:rsid w:val="002235C6"/>
    <w:rsid w:val="00223F1C"/>
    <w:rsid w:val="00232186"/>
    <w:rsid w:val="00242277"/>
    <w:rsid w:val="00246A3C"/>
    <w:rsid w:val="0026103B"/>
    <w:rsid w:val="00264D23"/>
    <w:rsid w:val="00264EBA"/>
    <w:rsid w:val="00266BFB"/>
    <w:rsid w:val="00267FD5"/>
    <w:rsid w:val="002826B9"/>
    <w:rsid w:val="002967A9"/>
    <w:rsid w:val="002968BF"/>
    <w:rsid w:val="002B253B"/>
    <w:rsid w:val="002B3247"/>
    <w:rsid w:val="002D31BB"/>
    <w:rsid w:val="002E05F8"/>
    <w:rsid w:val="002E668B"/>
    <w:rsid w:val="002E6E4E"/>
    <w:rsid w:val="002F0522"/>
    <w:rsid w:val="0031621B"/>
    <w:rsid w:val="0033427B"/>
    <w:rsid w:val="00352536"/>
    <w:rsid w:val="0039459F"/>
    <w:rsid w:val="00396180"/>
    <w:rsid w:val="003A75C0"/>
    <w:rsid w:val="003B52D6"/>
    <w:rsid w:val="003D1940"/>
    <w:rsid w:val="003D239C"/>
    <w:rsid w:val="003D5201"/>
    <w:rsid w:val="003E073F"/>
    <w:rsid w:val="003E3D96"/>
    <w:rsid w:val="003F4A1A"/>
    <w:rsid w:val="003F631F"/>
    <w:rsid w:val="00401BA5"/>
    <w:rsid w:val="00402C37"/>
    <w:rsid w:val="00412667"/>
    <w:rsid w:val="004209F1"/>
    <w:rsid w:val="0042289C"/>
    <w:rsid w:val="00423918"/>
    <w:rsid w:val="0044021D"/>
    <w:rsid w:val="00466788"/>
    <w:rsid w:val="00467D25"/>
    <w:rsid w:val="00481F7E"/>
    <w:rsid w:val="0049015B"/>
    <w:rsid w:val="004A2689"/>
    <w:rsid w:val="004D4CB7"/>
    <w:rsid w:val="004D5057"/>
    <w:rsid w:val="004D7575"/>
    <w:rsid w:val="004E3347"/>
    <w:rsid w:val="004E3633"/>
    <w:rsid w:val="004F4254"/>
    <w:rsid w:val="004F4978"/>
    <w:rsid w:val="0052083F"/>
    <w:rsid w:val="00530173"/>
    <w:rsid w:val="00536E19"/>
    <w:rsid w:val="00542DD1"/>
    <w:rsid w:val="00551A49"/>
    <w:rsid w:val="00574291"/>
    <w:rsid w:val="0057743B"/>
    <w:rsid w:val="00585678"/>
    <w:rsid w:val="00591CD7"/>
    <w:rsid w:val="005C0B0B"/>
    <w:rsid w:val="005C5EDE"/>
    <w:rsid w:val="005D0AF7"/>
    <w:rsid w:val="005E77F1"/>
    <w:rsid w:val="00607488"/>
    <w:rsid w:val="00612723"/>
    <w:rsid w:val="00622003"/>
    <w:rsid w:val="006278A0"/>
    <w:rsid w:val="00631677"/>
    <w:rsid w:val="006373F8"/>
    <w:rsid w:val="00641AA8"/>
    <w:rsid w:val="00645E6A"/>
    <w:rsid w:val="0066188E"/>
    <w:rsid w:val="00682559"/>
    <w:rsid w:val="006C171B"/>
    <w:rsid w:val="006C3367"/>
    <w:rsid w:val="00701329"/>
    <w:rsid w:val="00712AC5"/>
    <w:rsid w:val="0071644A"/>
    <w:rsid w:val="00726479"/>
    <w:rsid w:val="0073082B"/>
    <w:rsid w:val="00754047"/>
    <w:rsid w:val="007615E8"/>
    <w:rsid w:val="00764EF6"/>
    <w:rsid w:val="00773374"/>
    <w:rsid w:val="00774222"/>
    <w:rsid w:val="0079122B"/>
    <w:rsid w:val="00791A9C"/>
    <w:rsid w:val="00796400"/>
    <w:rsid w:val="007A6943"/>
    <w:rsid w:val="007B0C05"/>
    <w:rsid w:val="007C0432"/>
    <w:rsid w:val="007C21BC"/>
    <w:rsid w:val="007C2373"/>
    <w:rsid w:val="00817555"/>
    <w:rsid w:val="00831C82"/>
    <w:rsid w:val="0083308C"/>
    <w:rsid w:val="008330F6"/>
    <w:rsid w:val="00835EF3"/>
    <w:rsid w:val="00843FD8"/>
    <w:rsid w:val="00856B5C"/>
    <w:rsid w:val="00865AD0"/>
    <w:rsid w:val="00867069"/>
    <w:rsid w:val="008735A4"/>
    <w:rsid w:val="00874BF6"/>
    <w:rsid w:val="008928BC"/>
    <w:rsid w:val="008C1CDE"/>
    <w:rsid w:val="008C391C"/>
    <w:rsid w:val="008C456A"/>
    <w:rsid w:val="008C6A41"/>
    <w:rsid w:val="008E6AFC"/>
    <w:rsid w:val="00916FC7"/>
    <w:rsid w:val="00920563"/>
    <w:rsid w:val="00921965"/>
    <w:rsid w:val="009242E8"/>
    <w:rsid w:val="00926F2B"/>
    <w:rsid w:val="009455B9"/>
    <w:rsid w:val="00952E56"/>
    <w:rsid w:val="00971F4A"/>
    <w:rsid w:val="00982020"/>
    <w:rsid w:val="0098214B"/>
    <w:rsid w:val="009845D5"/>
    <w:rsid w:val="009B68ED"/>
    <w:rsid w:val="009C0AE5"/>
    <w:rsid w:val="009C5F3B"/>
    <w:rsid w:val="009D1FAF"/>
    <w:rsid w:val="009D4A8E"/>
    <w:rsid w:val="009E4C43"/>
    <w:rsid w:val="00A039FD"/>
    <w:rsid w:val="00A2268F"/>
    <w:rsid w:val="00A25046"/>
    <w:rsid w:val="00A34DD7"/>
    <w:rsid w:val="00A4074D"/>
    <w:rsid w:val="00A64187"/>
    <w:rsid w:val="00A870C2"/>
    <w:rsid w:val="00A94E8B"/>
    <w:rsid w:val="00AC0AF3"/>
    <w:rsid w:val="00AD3A76"/>
    <w:rsid w:val="00AF084B"/>
    <w:rsid w:val="00B1105F"/>
    <w:rsid w:val="00B42EAE"/>
    <w:rsid w:val="00B53E47"/>
    <w:rsid w:val="00B54977"/>
    <w:rsid w:val="00B73277"/>
    <w:rsid w:val="00B73638"/>
    <w:rsid w:val="00B94EF6"/>
    <w:rsid w:val="00B96FA5"/>
    <w:rsid w:val="00BB2A07"/>
    <w:rsid w:val="00BB5A56"/>
    <w:rsid w:val="00BC4192"/>
    <w:rsid w:val="00BD5A9F"/>
    <w:rsid w:val="00BD5DDB"/>
    <w:rsid w:val="00BE291A"/>
    <w:rsid w:val="00BE40CB"/>
    <w:rsid w:val="00BF500D"/>
    <w:rsid w:val="00C07EFE"/>
    <w:rsid w:val="00C240B6"/>
    <w:rsid w:val="00C27927"/>
    <w:rsid w:val="00C30542"/>
    <w:rsid w:val="00C318A0"/>
    <w:rsid w:val="00C5651B"/>
    <w:rsid w:val="00C56A79"/>
    <w:rsid w:val="00C63785"/>
    <w:rsid w:val="00C64758"/>
    <w:rsid w:val="00C672C9"/>
    <w:rsid w:val="00C770CB"/>
    <w:rsid w:val="00C83F0C"/>
    <w:rsid w:val="00C90968"/>
    <w:rsid w:val="00C920BD"/>
    <w:rsid w:val="00C947EE"/>
    <w:rsid w:val="00CA3D03"/>
    <w:rsid w:val="00CA6CF7"/>
    <w:rsid w:val="00CB164B"/>
    <w:rsid w:val="00CC2968"/>
    <w:rsid w:val="00CC2D26"/>
    <w:rsid w:val="00CC46EA"/>
    <w:rsid w:val="00CE103D"/>
    <w:rsid w:val="00CE7DA3"/>
    <w:rsid w:val="00CF34CC"/>
    <w:rsid w:val="00CF4BC1"/>
    <w:rsid w:val="00CF7BE2"/>
    <w:rsid w:val="00D11676"/>
    <w:rsid w:val="00D137E3"/>
    <w:rsid w:val="00D2066C"/>
    <w:rsid w:val="00D21B00"/>
    <w:rsid w:val="00D24517"/>
    <w:rsid w:val="00D25D4F"/>
    <w:rsid w:val="00D4163C"/>
    <w:rsid w:val="00D47A7B"/>
    <w:rsid w:val="00D57F58"/>
    <w:rsid w:val="00D61440"/>
    <w:rsid w:val="00D63204"/>
    <w:rsid w:val="00D67091"/>
    <w:rsid w:val="00D83CDD"/>
    <w:rsid w:val="00D93722"/>
    <w:rsid w:val="00DA148E"/>
    <w:rsid w:val="00DC2170"/>
    <w:rsid w:val="00DD51DE"/>
    <w:rsid w:val="00DE2A0E"/>
    <w:rsid w:val="00DE4AF3"/>
    <w:rsid w:val="00DE4C15"/>
    <w:rsid w:val="00E02D9B"/>
    <w:rsid w:val="00E13A40"/>
    <w:rsid w:val="00E41B75"/>
    <w:rsid w:val="00E70C9E"/>
    <w:rsid w:val="00E75924"/>
    <w:rsid w:val="00EA51B2"/>
    <w:rsid w:val="00EE3A01"/>
    <w:rsid w:val="00EE3E2C"/>
    <w:rsid w:val="00EF0A96"/>
    <w:rsid w:val="00EF4B02"/>
    <w:rsid w:val="00F07264"/>
    <w:rsid w:val="00F23C6D"/>
    <w:rsid w:val="00F3470D"/>
    <w:rsid w:val="00F44700"/>
    <w:rsid w:val="00F519E6"/>
    <w:rsid w:val="00F60E6F"/>
    <w:rsid w:val="00F75A04"/>
    <w:rsid w:val="00F908F6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9EB9D"/>
  <w15:chartTrackingRefBased/>
  <w15:docId w15:val="{76ED2D23-B3C3-4740-AA87-447ED94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65AD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3218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0" w:line="240" w:lineRule="auto"/>
      <w:ind w:right="386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67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89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1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F4A"/>
  </w:style>
  <w:style w:type="paragraph" w:styleId="Pidipagina">
    <w:name w:val="footer"/>
    <w:basedOn w:val="Normale"/>
    <w:link w:val="PidipaginaCarattere"/>
    <w:uiPriority w:val="99"/>
    <w:unhideWhenUsed/>
    <w:rsid w:val="00971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F4A"/>
  </w:style>
  <w:style w:type="character" w:styleId="Rimandocommento">
    <w:name w:val="annotation reference"/>
    <w:basedOn w:val="Carpredefinitoparagrafo"/>
    <w:uiPriority w:val="99"/>
    <w:semiHidden/>
    <w:unhideWhenUsed/>
    <w:rsid w:val="00D25D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D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D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D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D4F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32186"/>
    <w:rPr>
      <w:rFonts w:ascii="Times New Roman" w:eastAsia="Times New Roman" w:hAnsi="Times New Roman" w:cs="Times New Roman"/>
      <w:b/>
      <w:sz w:val="24"/>
      <w:szCs w:val="20"/>
    </w:rPr>
  </w:style>
  <w:style w:type="paragraph" w:styleId="Revisione">
    <w:name w:val="Revision"/>
    <w:hidden/>
    <w:uiPriority w:val="99"/>
    <w:semiHidden/>
    <w:rsid w:val="00BF500D"/>
    <w:pPr>
      <w:spacing w:after="0" w:line="240" w:lineRule="auto"/>
    </w:pPr>
  </w:style>
  <w:style w:type="paragraph" w:styleId="Corpotesto">
    <w:name w:val="Body Text"/>
    <w:aliases w:val="bt,Body text,body,text,body text,Starbucks Body Text,heading3,3 indent,heading31,body text1,3 indent1,heading32,body text2,3 indent2,heading33,body text3,3 indent3,heading34,body text4,3 indent4,bt1,bt2,bt3,heading35,bt4,heading36,bt5"/>
    <w:basedOn w:val="Normale"/>
    <w:link w:val="CorpotestoCarattere"/>
    <w:rsid w:val="00F519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bt Carattere,Body text Carattere,body Carattere,text Carattere,body text Carattere,Starbucks Body Text Carattere,heading3 Carattere,3 indent Carattere,heading31 Carattere,body text1 Carattere,3 indent1 Carattere,heading32 Carattere"/>
    <w:basedOn w:val="Carpredefinitoparagrafo"/>
    <w:link w:val="Corpotesto"/>
    <w:rsid w:val="00F519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2E6E4E"/>
    <w:pPr>
      <w:tabs>
        <w:tab w:val="left" w:pos="480"/>
        <w:tab w:val="right" w:leader="underscore" w:pos="9628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952E56"/>
    <w:pPr>
      <w:spacing w:before="120" w:after="0" w:line="240" w:lineRule="auto"/>
      <w:ind w:left="240"/>
    </w:pPr>
    <w:rPr>
      <w:rFonts w:eastAsia="Times New Roman" w:cs="Times New Roman"/>
      <w:b/>
      <w:bCs/>
    </w:rPr>
  </w:style>
  <w:style w:type="character" w:styleId="Collegamentoipertestuale">
    <w:name w:val="Hyperlink"/>
    <w:uiPriority w:val="99"/>
    <w:rsid w:val="00952E56"/>
    <w:rPr>
      <w:color w:val="0000FF"/>
      <w:u w:val="single"/>
    </w:rPr>
  </w:style>
  <w:style w:type="paragraph" w:customStyle="1" w:styleId="AQLTitolo1">
    <w:name w:val="AQL Titolo 1"/>
    <w:basedOn w:val="Titolo1"/>
    <w:qFormat/>
    <w:rsid w:val="00865AD0"/>
    <w:pPr>
      <w:keepLines w:val="0"/>
      <w:spacing w:before="360" w:after="240" w:line="240" w:lineRule="auto"/>
      <w:jc w:val="both"/>
    </w:pPr>
    <w:rPr>
      <w:rFonts w:ascii="Times New Roman" w:eastAsia="Times New Roman" w:hAnsi="Times New Roman" w:cs="Times New Roman"/>
      <w:b/>
      <w:caps/>
      <w:color w:val="0000FF"/>
      <w:sz w:val="28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5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746B-7F59-44A1-9558-FB0ED24A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Giuseppe Russo</dc:creator>
  <cp:keywords/>
  <dc:description/>
  <cp:lastModifiedBy>User</cp:lastModifiedBy>
  <cp:revision>26</cp:revision>
  <cp:lastPrinted>2018-06-27T07:50:00Z</cp:lastPrinted>
  <dcterms:created xsi:type="dcterms:W3CDTF">2018-11-12T15:41:00Z</dcterms:created>
  <dcterms:modified xsi:type="dcterms:W3CDTF">2020-12-31T16:28:00Z</dcterms:modified>
</cp:coreProperties>
</file>