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5C57" w14:textId="77777777" w:rsidR="00B0224B" w:rsidRDefault="00B0224B" w:rsidP="00B0224B">
      <w:pPr>
        <w:spacing w:line="280" w:lineRule="exact"/>
        <w:jc w:val="both"/>
        <w:rPr>
          <w:rFonts w:ascii="Gotham Light" w:hAnsi="Gotham Light"/>
        </w:rPr>
      </w:pPr>
    </w:p>
    <w:p w14:paraId="0885725D" w14:textId="77777777" w:rsidR="00FF220A" w:rsidRPr="00C81F07" w:rsidRDefault="00FF220A" w:rsidP="00FF220A">
      <w:pPr>
        <w:spacing w:after="120" w:line="280" w:lineRule="exact"/>
        <w:jc w:val="both"/>
        <w:rPr>
          <w:rFonts w:ascii="Garamond" w:hAnsi="Garamond"/>
          <w:b/>
          <w:color w:val="0070C0"/>
          <w:sz w:val="22"/>
          <w:szCs w:val="22"/>
        </w:rPr>
      </w:pPr>
      <w:r w:rsidRPr="00C81F07">
        <w:rPr>
          <w:rFonts w:ascii="Garamond" w:hAnsi="Garamond"/>
          <w:b/>
          <w:color w:val="0070C0"/>
          <w:sz w:val="22"/>
          <w:szCs w:val="22"/>
        </w:rPr>
        <w:t xml:space="preserve">Premessa </w:t>
      </w:r>
    </w:p>
    <w:p w14:paraId="02811DD3" w14:textId="77777777" w:rsidR="0041354D" w:rsidRPr="00C81F07" w:rsidRDefault="009F7501" w:rsidP="00C81F07">
      <w:pPr>
        <w:jc w:val="both"/>
        <w:rPr>
          <w:rFonts w:ascii="Garamond" w:hAnsi="Garamond"/>
          <w:sz w:val="22"/>
          <w:szCs w:val="22"/>
        </w:rPr>
      </w:pPr>
      <w:r w:rsidRPr="00C81F07">
        <w:rPr>
          <w:rFonts w:ascii="Garamond" w:hAnsi="Garamond"/>
          <w:sz w:val="22"/>
          <w:szCs w:val="22"/>
        </w:rPr>
        <w:t xml:space="preserve">Tutti i dipendenti </w:t>
      </w:r>
      <w:r w:rsidRPr="00C81F07">
        <w:rPr>
          <w:rFonts w:ascii="Garamond" w:hAnsi="Garamond"/>
          <w:b/>
          <w:sz w:val="22"/>
          <w:szCs w:val="22"/>
        </w:rPr>
        <w:t>dell’</w:t>
      </w:r>
      <w:r w:rsidRPr="00C81F07">
        <w:rPr>
          <w:rFonts w:ascii="Garamond" w:eastAsia="Gulim" w:hAnsi="Garamond"/>
          <w:b/>
          <w:sz w:val="22"/>
          <w:szCs w:val="22"/>
        </w:rPr>
        <w:t>Azienda Servizi Pubblici S.p.A.</w:t>
      </w:r>
      <w:r w:rsidRPr="00C81F07">
        <w:rPr>
          <w:rFonts w:ascii="Garamond" w:eastAsia="Gulim" w:hAnsi="Garamond"/>
          <w:sz w:val="22"/>
          <w:szCs w:val="22"/>
        </w:rPr>
        <w:t xml:space="preserve"> </w:t>
      </w:r>
      <w:r w:rsidR="0041354D" w:rsidRPr="00C81F07">
        <w:rPr>
          <w:rFonts w:ascii="Garamond" w:hAnsi="Garamond"/>
          <w:sz w:val="22"/>
          <w:szCs w:val="22"/>
        </w:rPr>
        <w:t>devono attenersi alla Politica anticorruzione e a tutte le legislazioni anticorruzione vigenti nel/nei Paese/i in cui sono impiegati o attivi, se più restrittive.</w:t>
      </w:r>
    </w:p>
    <w:p w14:paraId="2E61D86F" w14:textId="77777777" w:rsidR="0041354D" w:rsidRPr="00C81F07" w:rsidRDefault="0041354D" w:rsidP="00C81F07">
      <w:pPr>
        <w:jc w:val="both"/>
        <w:rPr>
          <w:rFonts w:ascii="Garamond" w:hAnsi="Garamond"/>
          <w:sz w:val="22"/>
          <w:szCs w:val="22"/>
        </w:rPr>
      </w:pPr>
      <w:r w:rsidRPr="00C81F07">
        <w:rPr>
          <w:rFonts w:ascii="Garamond" w:hAnsi="Garamond"/>
          <w:sz w:val="22"/>
          <w:szCs w:val="22"/>
        </w:rPr>
        <w:t xml:space="preserve"> </w:t>
      </w:r>
      <w:r w:rsidR="009F7501" w:rsidRPr="00C81F07">
        <w:rPr>
          <w:rFonts w:ascii="Garamond" w:hAnsi="Garamond"/>
          <w:b/>
          <w:sz w:val="22"/>
          <w:szCs w:val="22"/>
        </w:rPr>
        <w:t>L’</w:t>
      </w:r>
      <w:r w:rsidR="009F7501" w:rsidRPr="00C81F07">
        <w:rPr>
          <w:rFonts w:ascii="Garamond" w:eastAsia="Gulim" w:hAnsi="Garamond"/>
          <w:b/>
          <w:sz w:val="22"/>
          <w:szCs w:val="22"/>
        </w:rPr>
        <w:t>Azienda Servizi Pubblici S.p.A.</w:t>
      </w:r>
      <w:r w:rsidR="006279EF" w:rsidRPr="00C81F07">
        <w:rPr>
          <w:rFonts w:ascii="Garamond" w:eastAsia="Gulim" w:hAnsi="Garamond"/>
          <w:sz w:val="22"/>
          <w:szCs w:val="22"/>
        </w:rPr>
        <w:t xml:space="preserve"> </w:t>
      </w:r>
      <w:r w:rsidRPr="00C81F07">
        <w:rPr>
          <w:rFonts w:ascii="Garamond" w:hAnsi="Garamond"/>
          <w:sz w:val="22"/>
          <w:szCs w:val="22"/>
        </w:rPr>
        <w:t xml:space="preserve">incoraggia fortemente i partner e i terzi non soggetti al suo controllo effettivo ad adottare politiche e pratiche simili, specialmente se sono ubicati o agiscono nei paesi firmatari della Convenzione OCSE sulla lotta alla corruzione dei funzionari pubblici esteri nelle operazioni economiche nazionali ed internazionali. </w:t>
      </w:r>
    </w:p>
    <w:p w14:paraId="7AB8D751" w14:textId="77777777" w:rsidR="000C658E" w:rsidRPr="00C81F07" w:rsidRDefault="00AA3BB3" w:rsidP="00C81F07">
      <w:pPr>
        <w:jc w:val="both"/>
        <w:rPr>
          <w:rFonts w:ascii="Garamond" w:hAnsi="Garamond"/>
          <w:sz w:val="22"/>
          <w:szCs w:val="22"/>
        </w:rPr>
      </w:pPr>
      <w:r w:rsidRPr="00C81F07">
        <w:rPr>
          <w:rFonts w:ascii="Garamond" w:hAnsi="Garamond"/>
          <w:sz w:val="22"/>
          <w:szCs w:val="22"/>
        </w:rPr>
        <w:t>La cultura etica e il rispetto delle Leggi Anticorruzione costituiscono u</w:t>
      </w:r>
      <w:r w:rsidR="00BB11D6" w:rsidRPr="00C81F07">
        <w:rPr>
          <w:rFonts w:ascii="Garamond" w:hAnsi="Garamond"/>
          <w:sz w:val="22"/>
          <w:szCs w:val="22"/>
        </w:rPr>
        <w:t xml:space="preserve">no degli asset più importanti </w:t>
      </w:r>
      <w:r w:rsidR="009F7501" w:rsidRPr="00C81F07">
        <w:rPr>
          <w:rFonts w:ascii="Garamond" w:hAnsi="Garamond"/>
          <w:b/>
          <w:sz w:val="22"/>
          <w:szCs w:val="22"/>
        </w:rPr>
        <w:t>dell’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Pr="00C81F07">
        <w:rPr>
          <w:rFonts w:ascii="Garamond" w:hAnsi="Garamond"/>
          <w:sz w:val="22"/>
          <w:szCs w:val="22"/>
        </w:rPr>
        <w:t xml:space="preserve">per questo la strategia </w:t>
      </w:r>
      <w:r w:rsidR="009F7501" w:rsidRPr="00C81F07">
        <w:rPr>
          <w:rFonts w:ascii="Garamond" w:hAnsi="Garamond"/>
          <w:b/>
          <w:sz w:val="22"/>
          <w:szCs w:val="22"/>
        </w:rPr>
        <w:t>dell’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Pr="00C81F07">
        <w:rPr>
          <w:rFonts w:ascii="Garamond" w:hAnsi="Garamond"/>
          <w:sz w:val="22"/>
          <w:szCs w:val="22"/>
        </w:rPr>
        <w:t xml:space="preserve">è quella di svolgere </w:t>
      </w:r>
      <w:r w:rsidR="000C658E" w:rsidRPr="00C81F07">
        <w:rPr>
          <w:rFonts w:ascii="Garamond" w:hAnsi="Garamond"/>
          <w:sz w:val="22"/>
          <w:szCs w:val="22"/>
        </w:rPr>
        <w:t xml:space="preserve">le proprie attività </w:t>
      </w:r>
      <w:r w:rsidRPr="00C81F07">
        <w:rPr>
          <w:rFonts w:ascii="Garamond" w:hAnsi="Garamond"/>
          <w:sz w:val="22"/>
          <w:szCs w:val="22"/>
        </w:rPr>
        <w:t>in modo etico, in conformità con tutte le normative applicabili e facendo forza sulla qualità dei pr</w:t>
      </w:r>
      <w:r w:rsidR="000C658E" w:rsidRPr="00C81F07">
        <w:rPr>
          <w:rFonts w:ascii="Garamond" w:hAnsi="Garamond"/>
          <w:sz w:val="22"/>
          <w:szCs w:val="22"/>
        </w:rPr>
        <w:t>opri servizi</w:t>
      </w:r>
      <w:r w:rsidRPr="00C81F07">
        <w:rPr>
          <w:rFonts w:ascii="Garamond" w:hAnsi="Garamond"/>
          <w:sz w:val="22"/>
          <w:szCs w:val="22"/>
        </w:rPr>
        <w:t xml:space="preserve"> e del proprio lavoro, nonché sul valore creato per i</w:t>
      </w:r>
      <w:r w:rsidR="009F7501" w:rsidRPr="00C81F07">
        <w:rPr>
          <w:rFonts w:ascii="Garamond" w:hAnsi="Garamond"/>
          <w:sz w:val="22"/>
          <w:szCs w:val="22"/>
        </w:rPr>
        <w:t>l socio Unico e per i cittadini</w:t>
      </w:r>
      <w:r w:rsidR="000C658E" w:rsidRPr="00C81F07">
        <w:rPr>
          <w:rFonts w:ascii="Garamond" w:hAnsi="Garamond"/>
          <w:sz w:val="22"/>
          <w:szCs w:val="22"/>
        </w:rPr>
        <w:t xml:space="preserve"> del </w:t>
      </w:r>
      <w:r w:rsidR="009F7501" w:rsidRPr="00C81F07">
        <w:rPr>
          <w:rFonts w:ascii="Garamond" w:hAnsi="Garamond"/>
          <w:b/>
          <w:sz w:val="22"/>
          <w:szCs w:val="22"/>
        </w:rPr>
        <w:t>Comune di Ciampino</w:t>
      </w:r>
      <w:r w:rsidRPr="00C81F07">
        <w:rPr>
          <w:rFonts w:ascii="Garamond" w:hAnsi="Garamond"/>
          <w:sz w:val="22"/>
          <w:szCs w:val="22"/>
        </w:rPr>
        <w:t>, e non su comportamenti corruttivi né su altri comportamenti illeciti o contrari alle regole etiche.</w:t>
      </w:r>
    </w:p>
    <w:p w14:paraId="202929BA" w14:textId="77777777" w:rsidR="000C658E" w:rsidRPr="00C81F07" w:rsidRDefault="00AA3BB3" w:rsidP="00C81F07">
      <w:pPr>
        <w:jc w:val="both"/>
        <w:rPr>
          <w:rFonts w:ascii="Garamond" w:hAnsi="Garamond"/>
          <w:sz w:val="22"/>
          <w:szCs w:val="22"/>
        </w:rPr>
      </w:pPr>
      <w:r w:rsidRPr="00C81F07">
        <w:rPr>
          <w:rFonts w:ascii="Garamond" w:hAnsi="Garamond"/>
          <w:sz w:val="22"/>
          <w:szCs w:val="22"/>
        </w:rPr>
        <w:t>Attraverso quan</w:t>
      </w:r>
      <w:r w:rsidR="009F7501" w:rsidRPr="00C81F07">
        <w:rPr>
          <w:rFonts w:ascii="Garamond" w:hAnsi="Garamond"/>
          <w:sz w:val="22"/>
          <w:szCs w:val="22"/>
        </w:rPr>
        <w:t>to previsto da questa Politica 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Pr="00C81F07">
        <w:rPr>
          <w:rFonts w:ascii="Garamond" w:hAnsi="Garamond"/>
          <w:sz w:val="22"/>
          <w:szCs w:val="22"/>
        </w:rPr>
        <w:t>ribadisce for</w:t>
      </w:r>
      <w:r w:rsidR="000C658E" w:rsidRPr="00C81F07">
        <w:rPr>
          <w:rFonts w:ascii="Garamond" w:hAnsi="Garamond"/>
          <w:sz w:val="22"/>
          <w:szCs w:val="22"/>
        </w:rPr>
        <w:t xml:space="preserve">malmente l’obiettivo </w:t>
      </w:r>
      <w:r w:rsidRPr="00C81F07">
        <w:rPr>
          <w:rFonts w:ascii="Garamond" w:hAnsi="Garamond"/>
          <w:sz w:val="22"/>
          <w:szCs w:val="22"/>
        </w:rPr>
        <w:t xml:space="preserve">di allineare la strategia di business </w:t>
      </w:r>
      <w:r w:rsidR="000C658E" w:rsidRPr="00C81F07">
        <w:rPr>
          <w:rFonts w:ascii="Garamond" w:hAnsi="Garamond"/>
          <w:sz w:val="22"/>
          <w:szCs w:val="22"/>
        </w:rPr>
        <w:t xml:space="preserve">aziendale al </w:t>
      </w:r>
      <w:r w:rsidRPr="00C81F07">
        <w:rPr>
          <w:rFonts w:ascii="Garamond" w:hAnsi="Garamond"/>
          <w:sz w:val="22"/>
          <w:szCs w:val="22"/>
        </w:rPr>
        <w:t xml:space="preserve">rispetto dei sopra citati principi etici. </w:t>
      </w:r>
    </w:p>
    <w:p w14:paraId="66327C3D" w14:textId="77777777" w:rsidR="000C658E" w:rsidRPr="00C81F07" w:rsidRDefault="00AA3BB3" w:rsidP="00C81F07">
      <w:pPr>
        <w:jc w:val="both"/>
        <w:rPr>
          <w:rFonts w:ascii="Garamond" w:hAnsi="Garamond"/>
          <w:sz w:val="22"/>
          <w:szCs w:val="22"/>
        </w:rPr>
      </w:pPr>
      <w:r w:rsidRPr="00C81F07">
        <w:rPr>
          <w:rFonts w:ascii="Garamond" w:hAnsi="Garamond"/>
          <w:sz w:val="22"/>
          <w:szCs w:val="22"/>
        </w:rPr>
        <w:t>Lo scopo di questa Politica, stabilito dal</w:t>
      </w:r>
      <w:r w:rsidR="001033E8" w:rsidRPr="00C81F07">
        <w:rPr>
          <w:rFonts w:ascii="Garamond" w:hAnsi="Garamond"/>
          <w:sz w:val="22"/>
          <w:szCs w:val="22"/>
        </w:rPr>
        <w:t>l’Amministratore Unico</w:t>
      </w:r>
      <w:r w:rsidRPr="00C81F07">
        <w:rPr>
          <w:rFonts w:ascii="Garamond" w:hAnsi="Garamond"/>
          <w:sz w:val="22"/>
          <w:szCs w:val="22"/>
        </w:rPr>
        <w:t>, è pertanto quello di vietare e prevenire il compimento di qualsiasi condotta corruttiva,</w:t>
      </w:r>
      <w:r w:rsidR="001033E8" w:rsidRPr="00C81F07">
        <w:rPr>
          <w:rFonts w:ascii="Garamond" w:hAnsi="Garamond"/>
          <w:sz w:val="22"/>
          <w:szCs w:val="22"/>
        </w:rPr>
        <w:t xml:space="preserve"> conformemente al principio di </w:t>
      </w:r>
      <w:r w:rsidRPr="00C81F07">
        <w:rPr>
          <w:rFonts w:ascii="Garamond" w:hAnsi="Garamond"/>
          <w:b/>
          <w:sz w:val="22"/>
          <w:szCs w:val="22"/>
          <w:u w:val="single"/>
        </w:rPr>
        <w:t>tollera</w:t>
      </w:r>
      <w:r w:rsidR="001033E8" w:rsidRPr="00C81F07">
        <w:rPr>
          <w:rFonts w:ascii="Garamond" w:hAnsi="Garamond"/>
          <w:b/>
          <w:sz w:val="22"/>
          <w:szCs w:val="22"/>
          <w:u w:val="single"/>
        </w:rPr>
        <w:t>nza zero</w:t>
      </w:r>
      <w:r w:rsidRPr="00C81F07">
        <w:rPr>
          <w:rFonts w:ascii="Garamond" w:hAnsi="Garamond"/>
          <w:b/>
          <w:sz w:val="22"/>
          <w:szCs w:val="22"/>
          <w:u w:val="single"/>
        </w:rPr>
        <w:t xml:space="preserve"> della corruzione</w:t>
      </w:r>
      <w:r w:rsidRPr="00C81F07">
        <w:rPr>
          <w:rFonts w:ascii="Garamond" w:hAnsi="Garamond"/>
          <w:sz w:val="22"/>
          <w:szCs w:val="22"/>
        </w:rPr>
        <w:t xml:space="preserve">. </w:t>
      </w:r>
    </w:p>
    <w:p w14:paraId="39D52ECA" w14:textId="77777777" w:rsidR="000C658E" w:rsidRPr="00C81F07" w:rsidRDefault="00AA3BB3" w:rsidP="00C81F07">
      <w:pPr>
        <w:jc w:val="both"/>
        <w:rPr>
          <w:rFonts w:ascii="Garamond" w:hAnsi="Garamond"/>
          <w:sz w:val="22"/>
          <w:szCs w:val="22"/>
        </w:rPr>
      </w:pPr>
      <w:r w:rsidRPr="00C81F07">
        <w:rPr>
          <w:rFonts w:ascii="Garamond" w:hAnsi="Garamond"/>
          <w:sz w:val="22"/>
          <w:szCs w:val="22"/>
        </w:rPr>
        <w:t xml:space="preserve">Per conseguire tale scopo, la presente Politica fornisce a tutte le Persone del </w:t>
      </w:r>
      <w:r w:rsidR="000C658E" w:rsidRPr="00C81F07">
        <w:rPr>
          <w:rFonts w:ascii="Garamond" w:hAnsi="Garamond"/>
          <w:sz w:val="22"/>
          <w:szCs w:val="22"/>
        </w:rPr>
        <w:t>della Società</w:t>
      </w:r>
      <w:r w:rsidRPr="00C81F07">
        <w:rPr>
          <w:rFonts w:ascii="Garamond" w:hAnsi="Garamond"/>
          <w:sz w:val="22"/>
          <w:szCs w:val="22"/>
        </w:rPr>
        <w:t xml:space="preserve"> e a tutti coloro che opera</w:t>
      </w:r>
      <w:r w:rsidR="000C658E" w:rsidRPr="00C81F07">
        <w:rPr>
          <w:rFonts w:ascii="Garamond" w:hAnsi="Garamond"/>
          <w:sz w:val="22"/>
          <w:szCs w:val="22"/>
        </w:rPr>
        <w:t>no per conto o nell’interesse della</w:t>
      </w:r>
      <w:r w:rsidRPr="00C81F07">
        <w:rPr>
          <w:rFonts w:ascii="Garamond" w:hAnsi="Garamond"/>
          <w:sz w:val="22"/>
          <w:szCs w:val="22"/>
        </w:rPr>
        <w:t xml:space="preserve"> società i principi e le regole da seguire per garantire il rispetto delle Leggi Anticorruzione e la cultura dell’integrità e per soddisfare gli obiettivi e gli scopi del Sistema Anticorruzione. </w:t>
      </w:r>
    </w:p>
    <w:p w14:paraId="4270D42C" w14:textId="77777777" w:rsidR="00985B7A" w:rsidRPr="00C81F07" w:rsidRDefault="00AA3BB3" w:rsidP="00C81F07">
      <w:pPr>
        <w:jc w:val="both"/>
        <w:rPr>
          <w:rFonts w:ascii="Garamond" w:hAnsi="Garamond"/>
          <w:sz w:val="22"/>
          <w:szCs w:val="22"/>
        </w:rPr>
      </w:pPr>
      <w:r w:rsidRPr="00C81F07">
        <w:rPr>
          <w:rFonts w:ascii="Garamond" w:hAnsi="Garamond"/>
          <w:sz w:val="22"/>
          <w:szCs w:val="22"/>
        </w:rPr>
        <w:t>In particolare, la Politica prevede regole di comportamento, misure di prevenzione del rischio di commissione di fatti di corruzione e controlli che consentono di presidiare in modo adeguato le attività, i processi aziendali e i rapporti con le terze parti identificati come a rischio di corruzione nell’operatività del</w:t>
      </w:r>
      <w:r w:rsidR="00985B7A" w:rsidRPr="00C81F07">
        <w:rPr>
          <w:rFonts w:ascii="Garamond" w:hAnsi="Garamond"/>
          <w:sz w:val="22"/>
          <w:szCs w:val="22"/>
        </w:rPr>
        <w:t>la società.</w:t>
      </w:r>
    </w:p>
    <w:p w14:paraId="7D887F30" w14:textId="77777777" w:rsidR="00985B7A" w:rsidRPr="00C81F07" w:rsidRDefault="00AA3BB3" w:rsidP="00C81F07">
      <w:pPr>
        <w:jc w:val="both"/>
        <w:rPr>
          <w:rFonts w:ascii="Garamond" w:hAnsi="Garamond"/>
          <w:sz w:val="22"/>
          <w:szCs w:val="22"/>
        </w:rPr>
      </w:pPr>
      <w:r w:rsidRPr="00C81F07">
        <w:rPr>
          <w:rFonts w:ascii="Garamond" w:hAnsi="Garamond"/>
          <w:sz w:val="22"/>
          <w:szCs w:val="22"/>
        </w:rPr>
        <w:t>La presente Politica prevede inoltre un quadro di riferimento per stabilire, rivedere e raggiungere gli obiettivi del Sistema Anticorruzione; essa è stata progettata e viene applicata, manutenuta e revisionata per presidiare adeguatamente i rischi di corruzione che interessano le attività, i processi aziendali e i rapporti con le terze parti rilevanti nell’operatività del</w:t>
      </w:r>
      <w:r w:rsidR="00985B7A" w:rsidRPr="00C81F07">
        <w:rPr>
          <w:rFonts w:ascii="Garamond" w:hAnsi="Garamond"/>
          <w:sz w:val="22"/>
          <w:szCs w:val="22"/>
        </w:rPr>
        <w:t>la Società.</w:t>
      </w:r>
    </w:p>
    <w:p w14:paraId="78844128" w14:textId="77777777" w:rsidR="000776B3" w:rsidRPr="00C81F07" w:rsidRDefault="00AA3BB3" w:rsidP="00C81F07">
      <w:pPr>
        <w:jc w:val="both"/>
        <w:rPr>
          <w:rFonts w:ascii="Garamond" w:hAnsi="Garamond"/>
          <w:sz w:val="22"/>
          <w:szCs w:val="22"/>
        </w:rPr>
      </w:pPr>
      <w:r w:rsidRPr="00C81F07">
        <w:rPr>
          <w:rFonts w:ascii="Garamond" w:hAnsi="Garamond"/>
          <w:sz w:val="22"/>
          <w:szCs w:val="22"/>
        </w:rPr>
        <w:t xml:space="preserve">Tali previsioni rispondono all’esigenza di allineare costantemente il Sistema Anticorruzione alle migliori prassi disponibili e al mutevole contesto operativo e di business nel quale opera </w:t>
      </w:r>
      <w:r w:rsidR="00985B7A" w:rsidRPr="00C81F07">
        <w:rPr>
          <w:rFonts w:ascii="Garamond" w:hAnsi="Garamond"/>
          <w:sz w:val="22"/>
          <w:szCs w:val="22"/>
        </w:rPr>
        <w:t>la Società</w:t>
      </w:r>
      <w:r w:rsidR="000776B3" w:rsidRPr="00C81F07">
        <w:rPr>
          <w:rFonts w:ascii="Garamond" w:hAnsi="Garamond"/>
          <w:sz w:val="22"/>
          <w:szCs w:val="22"/>
        </w:rPr>
        <w:t>.</w:t>
      </w:r>
    </w:p>
    <w:p w14:paraId="04C48AF4" w14:textId="77777777" w:rsidR="00B0224B" w:rsidRPr="00C81F07" w:rsidRDefault="00A866C5" w:rsidP="00C81F07">
      <w:pPr>
        <w:jc w:val="both"/>
        <w:rPr>
          <w:rFonts w:ascii="Garamond" w:hAnsi="Garamond"/>
          <w:sz w:val="22"/>
          <w:szCs w:val="22"/>
        </w:rPr>
      </w:pPr>
      <w:r w:rsidRPr="00C81F07">
        <w:rPr>
          <w:rFonts w:ascii="Garamond" w:hAnsi="Garamond"/>
          <w:sz w:val="22"/>
          <w:szCs w:val="22"/>
        </w:rPr>
        <w:t xml:space="preserve">Ciò premesso, </w:t>
      </w:r>
      <w:r w:rsidR="009F7501" w:rsidRPr="00C81F07">
        <w:rPr>
          <w:rFonts w:ascii="Garamond" w:hAnsi="Garamond"/>
          <w:sz w:val="22"/>
          <w:szCs w:val="22"/>
        </w:rPr>
        <w:t>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009F7501" w:rsidRPr="00C81F07">
        <w:rPr>
          <w:rFonts w:ascii="Garamond" w:hAnsi="Garamond"/>
          <w:sz w:val="22"/>
          <w:szCs w:val="22"/>
        </w:rPr>
        <w:t xml:space="preserve"> </w:t>
      </w:r>
      <w:r w:rsidR="00B0224B" w:rsidRPr="00C81F07">
        <w:rPr>
          <w:rFonts w:ascii="Garamond" w:hAnsi="Garamond"/>
          <w:sz w:val="22"/>
          <w:szCs w:val="22"/>
        </w:rPr>
        <w:t xml:space="preserve">definisce la Politica per la Prevenzione della </w:t>
      </w:r>
      <w:r w:rsidRPr="00C81F07">
        <w:rPr>
          <w:rFonts w:ascii="Garamond" w:hAnsi="Garamond"/>
          <w:sz w:val="22"/>
          <w:szCs w:val="22"/>
        </w:rPr>
        <w:t xml:space="preserve">Corruzione, che si sostanzia in </w:t>
      </w:r>
      <w:r w:rsidR="00B0224B" w:rsidRPr="00C81F07">
        <w:rPr>
          <w:rFonts w:ascii="Garamond" w:hAnsi="Garamond"/>
          <w:sz w:val="22"/>
          <w:szCs w:val="22"/>
        </w:rPr>
        <w:t>principi generali che</w:t>
      </w:r>
      <w:r w:rsidR="0097750E" w:rsidRPr="00C81F07">
        <w:rPr>
          <w:rFonts w:ascii="Garamond" w:hAnsi="Garamond"/>
          <w:sz w:val="22"/>
          <w:szCs w:val="22"/>
        </w:rPr>
        <w:t xml:space="preserve"> si </w:t>
      </w:r>
      <w:r w:rsidR="00A913BF" w:rsidRPr="00C81F07">
        <w:rPr>
          <w:rFonts w:ascii="Garamond" w:hAnsi="Garamond"/>
          <w:sz w:val="22"/>
          <w:szCs w:val="22"/>
        </w:rPr>
        <w:t>concretizzano</w:t>
      </w:r>
      <w:r w:rsidR="0097750E" w:rsidRPr="00C81F07">
        <w:rPr>
          <w:rFonts w:ascii="Garamond" w:hAnsi="Garamond"/>
          <w:sz w:val="22"/>
          <w:szCs w:val="22"/>
        </w:rPr>
        <w:t xml:space="preserve"> in altrettanti </w:t>
      </w:r>
      <w:r w:rsidR="00B0224B" w:rsidRPr="00C81F07">
        <w:rPr>
          <w:rFonts w:ascii="Garamond" w:hAnsi="Garamond"/>
          <w:sz w:val="22"/>
          <w:szCs w:val="22"/>
        </w:rPr>
        <w:t>impegni</w:t>
      </w:r>
      <w:r w:rsidR="0097750E" w:rsidRPr="00C81F07">
        <w:rPr>
          <w:rFonts w:ascii="Garamond" w:hAnsi="Garamond"/>
          <w:sz w:val="22"/>
          <w:szCs w:val="22"/>
        </w:rPr>
        <w:t xml:space="preserve"> </w:t>
      </w:r>
      <w:r w:rsidR="00B0224B" w:rsidRPr="00C81F07">
        <w:rPr>
          <w:rFonts w:ascii="Garamond" w:hAnsi="Garamond"/>
          <w:sz w:val="22"/>
          <w:szCs w:val="22"/>
        </w:rPr>
        <w:t xml:space="preserve">che devono essere assunti, dalla Leadership, per garantire un adeguato sistema di controllo interno e di gestione dei rischi connessi anche ai reati di corruzione </w:t>
      </w:r>
      <w:r w:rsidR="00A913BF" w:rsidRPr="00C81F07">
        <w:rPr>
          <w:rFonts w:ascii="Garamond" w:hAnsi="Garamond"/>
          <w:sz w:val="22"/>
          <w:szCs w:val="22"/>
        </w:rPr>
        <w:t xml:space="preserve">che </w:t>
      </w:r>
      <w:r w:rsidR="00B0224B" w:rsidRPr="00C81F07">
        <w:rPr>
          <w:rFonts w:ascii="Garamond" w:hAnsi="Garamond"/>
          <w:sz w:val="22"/>
          <w:szCs w:val="22"/>
        </w:rPr>
        <w:t>possono essere sintetizzati come segue:</w:t>
      </w:r>
    </w:p>
    <w:p w14:paraId="03136A04"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t>Rispetto del Codice Etico</w:t>
      </w:r>
      <w:r w:rsidRPr="00C81F07">
        <w:rPr>
          <w:rFonts w:ascii="Garamond" w:hAnsi="Garamond"/>
          <w:szCs w:val="22"/>
        </w:rPr>
        <w:t>:</w:t>
      </w:r>
      <w:r w:rsidR="0097750E" w:rsidRPr="00C81F07">
        <w:rPr>
          <w:rFonts w:ascii="Garamond" w:hAnsi="Garamond"/>
          <w:szCs w:val="22"/>
        </w:rPr>
        <w:t xml:space="preserve"> </w:t>
      </w:r>
      <w:r w:rsidRPr="00C81F07">
        <w:rPr>
          <w:rFonts w:ascii="Garamond" w:hAnsi="Garamond"/>
          <w:szCs w:val="22"/>
        </w:rPr>
        <w:t>tutte le attività devono essere svolte conformemente ai principi comportamentali espo</w:t>
      </w:r>
      <w:r w:rsidR="001033E8" w:rsidRPr="00C81F07">
        <w:rPr>
          <w:rFonts w:ascii="Garamond" w:hAnsi="Garamond"/>
          <w:szCs w:val="22"/>
        </w:rPr>
        <w:t>sti</w:t>
      </w:r>
      <w:r w:rsidR="006279EF" w:rsidRPr="00C81F07">
        <w:rPr>
          <w:rFonts w:ascii="Garamond" w:hAnsi="Garamond"/>
          <w:szCs w:val="22"/>
        </w:rPr>
        <w:t xml:space="preserve"> nel Codice Etico adottato </w:t>
      </w:r>
      <w:r w:rsidR="006279EF" w:rsidRPr="00C81F07">
        <w:rPr>
          <w:rFonts w:ascii="Garamond" w:hAnsi="Garamond"/>
          <w:b/>
          <w:szCs w:val="22"/>
        </w:rPr>
        <w:t>dell’</w:t>
      </w:r>
      <w:r w:rsidR="006279EF" w:rsidRPr="00C81F07">
        <w:rPr>
          <w:rFonts w:ascii="Garamond" w:eastAsia="Gulim" w:hAnsi="Garamond"/>
          <w:b/>
          <w:szCs w:val="22"/>
        </w:rPr>
        <w:t>Azienda Servizi Pubblici S.p.A.</w:t>
      </w:r>
    </w:p>
    <w:p w14:paraId="1AD6D7D9"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t>Segregazione dei compiti</w:t>
      </w:r>
      <w:r w:rsidRPr="00C81F07">
        <w:rPr>
          <w:rFonts w:ascii="Garamond" w:hAnsi="Garamond"/>
          <w:szCs w:val="22"/>
        </w:rPr>
        <w:t>: lo svolgimento delle attività aziendali deve essere basato sul principio della separazione di funzioni, per cui l’autorizzazione di un’operazione deve essere sotto la responsabilità di una persona diversa da chi esegue operativamente o controlla tale operazione. La segregazione dei compiti deve essere garantita dall’intervento, all’interno di uno stesso processo, di più soggetti. Tale segregazione può essere attuata attraverso l’utilizzo di sistemi informatici che consentano l’esecuzione di certe operazioni solo a persone identificate ed autorizzate.</w:t>
      </w:r>
    </w:p>
    <w:p w14:paraId="3F2362BF"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t>Attribuzione di poteri</w:t>
      </w:r>
      <w:r w:rsidRPr="00C81F07">
        <w:rPr>
          <w:rFonts w:ascii="Garamond" w:hAnsi="Garamond"/>
          <w:b/>
          <w:szCs w:val="22"/>
        </w:rPr>
        <w:t>:</w:t>
      </w:r>
      <w:r w:rsidRPr="00C81F07">
        <w:rPr>
          <w:rFonts w:ascii="Garamond" w:hAnsi="Garamond"/>
          <w:szCs w:val="22"/>
        </w:rPr>
        <w:t xml:space="preserve"> i poteri autorizzativi e di firma devono essere: </w:t>
      </w:r>
    </w:p>
    <w:p w14:paraId="4B900BBC" w14:textId="77777777" w:rsidR="008544E7" w:rsidRDefault="00B0224B" w:rsidP="008544E7">
      <w:pPr>
        <w:pStyle w:val="Paragrafoelenco"/>
        <w:numPr>
          <w:ilvl w:val="0"/>
          <w:numId w:val="16"/>
        </w:numPr>
        <w:jc w:val="both"/>
        <w:rPr>
          <w:rFonts w:ascii="Garamond" w:hAnsi="Garamond"/>
          <w:szCs w:val="22"/>
        </w:rPr>
      </w:pPr>
      <w:r w:rsidRPr="008544E7">
        <w:rPr>
          <w:rFonts w:ascii="Garamond" w:hAnsi="Garamond"/>
          <w:szCs w:val="22"/>
        </w:rPr>
        <w:t>coerenti con le responsabilità organizza</w:t>
      </w:r>
      <w:r w:rsidR="008544E7">
        <w:rPr>
          <w:rFonts w:ascii="Garamond" w:hAnsi="Garamond"/>
          <w:szCs w:val="22"/>
        </w:rPr>
        <w:t>tive e gestionali assegnate;</w:t>
      </w:r>
    </w:p>
    <w:p w14:paraId="701EF6AC" w14:textId="77777777" w:rsidR="00B0224B" w:rsidRPr="008544E7" w:rsidRDefault="00B0224B" w:rsidP="008544E7">
      <w:pPr>
        <w:pStyle w:val="Paragrafoelenco"/>
        <w:numPr>
          <w:ilvl w:val="0"/>
          <w:numId w:val="16"/>
        </w:numPr>
        <w:jc w:val="both"/>
        <w:rPr>
          <w:rFonts w:ascii="Garamond" w:hAnsi="Garamond"/>
          <w:szCs w:val="22"/>
        </w:rPr>
      </w:pPr>
      <w:r w:rsidRPr="008544E7">
        <w:rPr>
          <w:rFonts w:ascii="Garamond" w:hAnsi="Garamond"/>
          <w:szCs w:val="22"/>
        </w:rPr>
        <w:t>chiaramente definiti e conosciuti all’interno della Società.</w:t>
      </w:r>
    </w:p>
    <w:p w14:paraId="6EEA1A58" w14:textId="77777777" w:rsidR="00B0224B" w:rsidRPr="00C81F07" w:rsidRDefault="00B0224B" w:rsidP="00C81F07">
      <w:pPr>
        <w:pStyle w:val="Paragrafoelenco"/>
        <w:ind w:left="709"/>
        <w:jc w:val="both"/>
        <w:rPr>
          <w:rFonts w:ascii="Garamond" w:hAnsi="Garamond"/>
          <w:szCs w:val="22"/>
        </w:rPr>
      </w:pPr>
      <w:r w:rsidRPr="00C81F07">
        <w:rPr>
          <w:rFonts w:ascii="Garamond" w:hAnsi="Garamond"/>
          <w:szCs w:val="22"/>
        </w:rPr>
        <w:t>Devono essere definiti i ruoli aziendali ai quali è assegnato il potere di impegnare la Società in determinate operazioni specificando i limiti e la natura delle stesse. L’attribuzione di poteri per una determinata tipologia di atto deve rispettare gli specifici requisiti eventualmente richiesti dalla legge per il compimento di quell’atto.</w:t>
      </w:r>
    </w:p>
    <w:p w14:paraId="26019788"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t>Trasparenza e tracciabilità dei processi</w:t>
      </w:r>
      <w:r w:rsidRPr="00C81F07">
        <w:rPr>
          <w:rFonts w:ascii="Garamond" w:hAnsi="Garamond"/>
          <w:szCs w:val="22"/>
        </w:rPr>
        <w:t>: ogni attività deve essere verificabile, documentata, coerente e congrua. La corretta conservazione dei dati e delle informazioni rilevanti, tramite supporti informatici e/o cartacei, deve essere garantita.</w:t>
      </w:r>
    </w:p>
    <w:p w14:paraId="261F1619"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lastRenderedPageBreak/>
        <w:t>Adeguatezza delle norme interne</w:t>
      </w:r>
      <w:r w:rsidRPr="00C81F07">
        <w:rPr>
          <w:rFonts w:ascii="Garamond" w:hAnsi="Garamond"/>
          <w:b/>
          <w:szCs w:val="22"/>
        </w:rPr>
        <w:t>:</w:t>
      </w:r>
      <w:r w:rsidRPr="00C81F07">
        <w:rPr>
          <w:rFonts w:ascii="Garamond" w:hAnsi="Garamond"/>
          <w:szCs w:val="22"/>
        </w:rPr>
        <w:t xml:space="preserve"> l’insieme delle norme aziendali deve essere coerente con l’operatività svolta ed il livello di complessità organizzativa e tale da garantire i controlli necessari a prevenire la commissione dei reati di corruzione.</w:t>
      </w:r>
    </w:p>
    <w:p w14:paraId="119F80D2" w14:textId="77777777" w:rsidR="00B0224B" w:rsidRPr="00C81F07" w:rsidRDefault="00B0224B" w:rsidP="00C81F07">
      <w:pPr>
        <w:pStyle w:val="Paragrafoelenco"/>
        <w:numPr>
          <w:ilvl w:val="0"/>
          <w:numId w:val="12"/>
        </w:numPr>
        <w:jc w:val="both"/>
        <w:rPr>
          <w:rFonts w:ascii="Garamond" w:hAnsi="Garamond"/>
          <w:szCs w:val="22"/>
        </w:rPr>
      </w:pPr>
      <w:r w:rsidRPr="00C81F07">
        <w:rPr>
          <w:rFonts w:ascii="Garamond" w:hAnsi="Garamond"/>
          <w:b/>
          <w:iCs/>
          <w:szCs w:val="22"/>
        </w:rPr>
        <w:t>Formazione del personale</w:t>
      </w:r>
      <w:r w:rsidRPr="00C81F07">
        <w:rPr>
          <w:rFonts w:ascii="Garamond" w:hAnsi="Garamond"/>
          <w:b/>
          <w:szCs w:val="22"/>
        </w:rPr>
        <w:t>:</w:t>
      </w:r>
      <w:r w:rsidRPr="00C81F07">
        <w:rPr>
          <w:rFonts w:ascii="Garamond" w:hAnsi="Garamond"/>
          <w:szCs w:val="22"/>
        </w:rPr>
        <w:t xml:space="preserve"> devono essere previsti specifici piani di formazione del personale con particolare riferimento a coloro che operano nelle aree nelle quali si presenta più elevato il rischio di corruzione.</w:t>
      </w:r>
    </w:p>
    <w:p w14:paraId="2F1DB38F" w14:textId="77777777" w:rsidR="00B0224B" w:rsidRPr="00C81F07" w:rsidRDefault="00E97E4D" w:rsidP="00C81F07">
      <w:pPr>
        <w:jc w:val="both"/>
        <w:rPr>
          <w:rFonts w:ascii="Garamond" w:eastAsia="Garamond" w:hAnsi="Garamond" w:cs="Garamond"/>
          <w:sz w:val="22"/>
          <w:szCs w:val="22"/>
        </w:rPr>
      </w:pPr>
      <w:r w:rsidRPr="00C81F07">
        <w:rPr>
          <w:rFonts w:ascii="Garamond" w:eastAsia="Garamond" w:hAnsi="Garamond" w:cs="Garamond"/>
          <w:sz w:val="22"/>
          <w:szCs w:val="22"/>
        </w:rPr>
        <w:t>Pertanto,</w:t>
      </w:r>
      <w:r w:rsidR="00B0224B" w:rsidRPr="00C81F07">
        <w:rPr>
          <w:rFonts w:ascii="Garamond" w:eastAsia="Garamond" w:hAnsi="Garamond" w:cs="Garamond"/>
          <w:sz w:val="22"/>
          <w:szCs w:val="22"/>
        </w:rPr>
        <w:t xml:space="preserve"> l’Alta Direzione, in coerenza con il PTPCT</w:t>
      </w:r>
      <w:r w:rsidR="00FD7D9A" w:rsidRPr="00C81F07">
        <w:rPr>
          <w:rFonts w:ascii="Garamond" w:eastAsia="Garamond" w:hAnsi="Garamond" w:cs="Garamond"/>
          <w:sz w:val="22"/>
          <w:szCs w:val="22"/>
        </w:rPr>
        <w:t>, il MOG</w:t>
      </w:r>
      <w:r w:rsidR="00B0224B" w:rsidRPr="00C81F07">
        <w:rPr>
          <w:rFonts w:ascii="Garamond" w:eastAsia="Garamond" w:hAnsi="Garamond" w:cs="Garamond"/>
          <w:sz w:val="22"/>
          <w:szCs w:val="22"/>
        </w:rPr>
        <w:t xml:space="preserve"> e la Policy aziendale relativa, ha stabilito, mantiene e riesamina periodicamente la Politica per la Prevenzione della Corruzione che:</w:t>
      </w:r>
    </w:p>
    <w:p w14:paraId="217E426D"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vieta la corruzione;</w:t>
      </w:r>
    </w:p>
    <w:p w14:paraId="03C72266"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richiede il rispetto delle leggi anti-corruzione che sono applicabili all’Organizzazione;</w:t>
      </w:r>
    </w:p>
    <w:p w14:paraId="097F4B85"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è appropriata agli scopi dell’Organizzazione;</w:t>
      </w:r>
    </w:p>
    <w:p w14:paraId="7380E416"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fornisce un quadro per l’impostazione, la revisione e il raggiungimento degli obiettivi per la Prevenzione della Corruzione;</w:t>
      </w:r>
    </w:p>
    <w:p w14:paraId="32BB17BB"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include un impegno per soddisfare le esigenze del Sistema di Gestione per la Prevenzione della Corruzione;</w:t>
      </w:r>
    </w:p>
    <w:p w14:paraId="4E8A1E99"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incoraggia le segnalazioni in buona fede, o sulla base di una ragionevole convinzione di fiducia, senza paura di rappresaglie;</w:t>
      </w:r>
    </w:p>
    <w:p w14:paraId="23C4C03B"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include un impegno al miglioramento continuo del Sistema di Gestione per la Prevenzione della Corruzione;</w:t>
      </w:r>
    </w:p>
    <w:p w14:paraId="4E0F5972"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spiega l’autorità e l’indipendenza della Funzione di Compliance per la Prevenzione della Corruzione;</w:t>
      </w:r>
    </w:p>
    <w:p w14:paraId="3DE7453A" w14:textId="77777777" w:rsidR="00B0224B" w:rsidRPr="00C81F07" w:rsidRDefault="00B0224B" w:rsidP="00C81F07">
      <w:pPr>
        <w:pStyle w:val="Paragrafoelenco"/>
        <w:numPr>
          <w:ilvl w:val="0"/>
          <w:numId w:val="7"/>
        </w:numPr>
        <w:jc w:val="both"/>
        <w:rPr>
          <w:rFonts w:ascii="Garamond" w:eastAsia="Garamond" w:hAnsi="Garamond" w:cs="Garamond"/>
          <w:szCs w:val="22"/>
        </w:rPr>
      </w:pPr>
      <w:r w:rsidRPr="00C81F07">
        <w:rPr>
          <w:rFonts w:ascii="Garamond" w:eastAsia="Garamond" w:hAnsi="Garamond" w:cs="Garamond"/>
          <w:szCs w:val="22"/>
        </w:rPr>
        <w:t>spiega le conseguenze del mancato rispetto della Politica per la Prevenzione della Corruzione.</w:t>
      </w:r>
    </w:p>
    <w:p w14:paraId="6C57A19A" w14:textId="77777777" w:rsidR="00B0224B" w:rsidRPr="00C81F07" w:rsidRDefault="00B0224B" w:rsidP="00C81F07">
      <w:pPr>
        <w:jc w:val="both"/>
        <w:rPr>
          <w:rFonts w:ascii="Garamond" w:eastAsia="Garamond" w:hAnsi="Garamond" w:cs="Garamond"/>
          <w:sz w:val="22"/>
          <w:szCs w:val="22"/>
        </w:rPr>
      </w:pPr>
      <w:r w:rsidRPr="00C81F07">
        <w:rPr>
          <w:rFonts w:ascii="Garamond" w:eastAsia="Garamond" w:hAnsi="Garamond" w:cs="Garamond"/>
          <w:sz w:val="22"/>
          <w:szCs w:val="22"/>
        </w:rPr>
        <w:t>Essa vie</w:t>
      </w:r>
      <w:r w:rsidR="009F7501" w:rsidRPr="00C81F07">
        <w:rPr>
          <w:rFonts w:ascii="Garamond" w:eastAsia="Garamond" w:hAnsi="Garamond" w:cs="Garamond"/>
          <w:sz w:val="22"/>
          <w:szCs w:val="22"/>
        </w:rPr>
        <w:t xml:space="preserve">ne definita dalla Leadership </w:t>
      </w:r>
      <w:r w:rsidR="009F7501" w:rsidRPr="00C81F07">
        <w:rPr>
          <w:rFonts w:ascii="Garamond" w:hAnsi="Garamond"/>
          <w:b/>
          <w:sz w:val="22"/>
          <w:szCs w:val="22"/>
        </w:rPr>
        <w:t>dell’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Pr="00C81F07">
        <w:rPr>
          <w:rFonts w:ascii="Garamond" w:eastAsia="Garamond" w:hAnsi="Garamond" w:cs="Garamond"/>
          <w:sz w:val="22"/>
          <w:szCs w:val="22"/>
        </w:rPr>
        <w:t>in modo da:</w:t>
      </w:r>
    </w:p>
    <w:p w14:paraId="78DF817C" w14:textId="77777777" w:rsidR="00B0224B" w:rsidRPr="00C81F07" w:rsidRDefault="00B0224B" w:rsidP="00C81F07">
      <w:pPr>
        <w:pStyle w:val="Paragrafoelenco"/>
        <w:numPr>
          <w:ilvl w:val="0"/>
          <w:numId w:val="8"/>
        </w:numPr>
        <w:jc w:val="both"/>
        <w:rPr>
          <w:rFonts w:ascii="Garamond" w:eastAsia="Garamond" w:hAnsi="Garamond" w:cs="Garamond"/>
          <w:szCs w:val="22"/>
        </w:rPr>
      </w:pPr>
      <w:r w:rsidRPr="00C81F07">
        <w:rPr>
          <w:rFonts w:ascii="Garamond" w:eastAsia="Garamond" w:hAnsi="Garamond" w:cs="Garamond"/>
          <w:szCs w:val="22"/>
        </w:rPr>
        <w:t>risultare appropriata alla normativa cogente e volontaria di carattere nazionale e comunitario;</w:t>
      </w:r>
    </w:p>
    <w:p w14:paraId="31776BA8" w14:textId="77777777" w:rsidR="00B0224B" w:rsidRPr="00C81F07" w:rsidRDefault="00B0224B" w:rsidP="00C81F07">
      <w:pPr>
        <w:pStyle w:val="Paragrafoelenco"/>
        <w:numPr>
          <w:ilvl w:val="0"/>
          <w:numId w:val="8"/>
        </w:numPr>
        <w:jc w:val="both"/>
        <w:rPr>
          <w:rFonts w:ascii="Garamond" w:eastAsia="Garamond" w:hAnsi="Garamond" w:cs="Garamond"/>
          <w:szCs w:val="22"/>
        </w:rPr>
      </w:pPr>
      <w:r w:rsidRPr="00C81F07">
        <w:rPr>
          <w:rFonts w:ascii="Garamond" w:eastAsia="Garamond" w:hAnsi="Garamond" w:cs="Garamond"/>
          <w:szCs w:val="22"/>
        </w:rPr>
        <w:t>risultare appropriata alle finalità ed al contesto dell’Organizzazione;</w:t>
      </w:r>
    </w:p>
    <w:p w14:paraId="4D69DE60" w14:textId="77777777" w:rsidR="00B0224B" w:rsidRPr="00C81F07" w:rsidRDefault="00B0224B" w:rsidP="00C81F07">
      <w:pPr>
        <w:pStyle w:val="Paragrafoelenco"/>
        <w:numPr>
          <w:ilvl w:val="0"/>
          <w:numId w:val="8"/>
        </w:numPr>
        <w:jc w:val="both"/>
        <w:rPr>
          <w:rFonts w:ascii="Garamond" w:eastAsia="Garamond" w:hAnsi="Garamond" w:cs="Garamond"/>
          <w:szCs w:val="22"/>
        </w:rPr>
      </w:pPr>
      <w:r w:rsidRPr="00C81F07">
        <w:rPr>
          <w:rFonts w:ascii="Garamond" w:eastAsia="Garamond" w:hAnsi="Garamond" w:cs="Garamond"/>
          <w:szCs w:val="22"/>
        </w:rPr>
        <w:t>includere l’impegno a rispettare tutte le leggi ed i regolamenti vigenti;</w:t>
      </w:r>
    </w:p>
    <w:p w14:paraId="7184FA9D" w14:textId="77777777" w:rsidR="00B0224B" w:rsidRPr="00C81F07" w:rsidRDefault="00B0224B" w:rsidP="00C81F07">
      <w:pPr>
        <w:pStyle w:val="Paragrafoelenco"/>
        <w:numPr>
          <w:ilvl w:val="0"/>
          <w:numId w:val="8"/>
        </w:numPr>
        <w:jc w:val="both"/>
        <w:rPr>
          <w:rFonts w:ascii="Garamond" w:eastAsia="Garamond" w:hAnsi="Garamond" w:cs="Garamond"/>
          <w:szCs w:val="22"/>
        </w:rPr>
      </w:pPr>
      <w:r w:rsidRPr="00C81F07">
        <w:rPr>
          <w:rFonts w:ascii="Garamond" w:eastAsia="Garamond" w:hAnsi="Garamond" w:cs="Garamond"/>
          <w:szCs w:val="22"/>
        </w:rPr>
        <w:t>costituire un quadro di riferimento per fissare gli obiettivi per la prevenzione della corruzione;</w:t>
      </w:r>
    </w:p>
    <w:p w14:paraId="158F4EE6" w14:textId="77777777" w:rsidR="00B0224B" w:rsidRPr="00C81F07" w:rsidRDefault="00B0224B" w:rsidP="00C81F07">
      <w:pPr>
        <w:pStyle w:val="Paragrafoelenco"/>
        <w:numPr>
          <w:ilvl w:val="0"/>
          <w:numId w:val="8"/>
        </w:numPr>
        <w:jc w:val="both"/>
        <w:rPr>
          <w:rFonts w:ascii="Garamond" w:eastAsia="Garamond" w:hAnsi="Garamond" w:cs="Garamond"/>
          <w:szCs w:val="22"/>
        </w:rPr>
      </w:pPr>
      <w:r w:rsidRPr="00C81F07">
        <w:rPr>
          <w:rFonts w:ascii="Garamond" w:eastAsia="Garamond" w:hAnsi="Garamond" w:cs="Garamond"/>
          <w:szCs w:val="22"/>
        </w:rPr>
        <w:t>mantenere l’impegno di soddisfare i requisiti per il miglioramento continuo, con l’attuazione di piani di miglioramento e la definizione degli obiettivi per la Prevenzione della Corruzione e l’impegno al soddisfacimento dei requisiti applicabili ed al miglioramento continuo dell’efficacia del SGPC.</w:t>
      </w:r>
    </w:p>
    <w:p w14:paraId="35D29CC1" w14:textId="77777777" w:rsidR="00B0224B" w:rsidRPr="00C81F07" w:rsidRDefault="00B0224B" w:rsidP="00C81F07">
      <w:pPr>
        <w:jc w:val="both"/>
        <w:rPr>
          <w:rFonts w:ascii="Garamond" w:eastAsia="Garamond" w:hAnsi="Garamond" w:cs="Garamond"/>
          <w:sz w:val="22"/>
          <w:szCs w:val="22"/>
        </w:rPr>
      </w:pPr>
      <w:r w:rsidRPr="00C81F07">
        <w:rPr>
          <w:rFonts w:ascii="Garamond" w:eastAsia="Garamond" w:hAnsi="Garamond" w:cs="Garamond"/>
          <w:sz w:val="22"/>
          <w:szCs w:val="22"/>
        </w:rPr>
        <w:t>La Politica per la Prevenzione della Corruzione, gli obiettivi ed i conseguenti impegni dell’azienda, sono definiti, formalizzati, monitorati e riesaminati con frequenza almeno annuale in ragione delle possibili mutazioni delle condizioni organizzative della società.</w:t>
      </w:r>
    </w:p>
    <w:p w14:paraId="6BD471BA" w14:textId="77777777" w:rsidR="00B0224B" w:rsidRPr="00C81F07" w:rsidRDefault="00B0224B" w:rsidP="00C81F07">
      <w:pPr>
        <w:jc w:val="both"/>
        <w:rPr>
          <w:rFonts w:ascii="Garamond" w:eastAsia="Garamond" w:hAnsi="Garamond" w:cs="Garamond"/>
          <w:sz w:val="22"/>
          <w:szCs w:val="22"/>
        </w:rPr>
      </w:pPr>
      <w:r w:rsidRPr="00C81F07">
        <w:rPr>
          <w:rFonts w:ascii="Garamond" w:eastAsia="Garamond" w:hAnsi="Garamond" w:cs="Garamond"/>
          <w:sz w:val="22"/>
          <w:szCs w:val="22"/>
        </w:rPr>
        <w:t xml:space="preserve">I Destinatari </w:t>
      </w:r>
      <w:r w:rsidR="004A126B" w:rsidRPr="00C81F07">
        <w:rPr>
          <w:rFonts w:ascii="Garamond" w:eastAsia="Garamond" w:hAnsi="Garamond" w:cs="Garamond"/>
          <w:sz w:val="22"/>
          <w:szCs w:val="22"/>
        </w:rPr>
        <w:t>(</w:t>
      </w:r>
      <w:r w:rsidRPr="00C81F07">
        <w:rPr>
          <w:rFonts w:ascii="Garamond" w:eastAsia="Garamond" w:hAnsi="Garamond" w:cs="Garamond"/>
          <w:sz w:val="22"/>
          <w:szCs w:val="22"/>
        </w:rPr>
        <w:t>tutti i dipendenti, i collaboratori a qualsiasi titolo, i</w:t>
      </w:r>
      <w:r w:rsidR="005D272B" w:rsidRPr="00C81F07">
        <w:rPr>
          <w:rFonts w:ascii="Garamond" w:eastAsia="Garamond" w:hAnsi="Garamond" w:cs="Garamond"/>
          <w:sz w:val="22"/>
          <w:szCs w:val="22"/>
        </w:rPr>
        <w:t xml:space="preserve"> fornitori e, più in generale, </w:t>
      </w:r>
      <w:r w:rsidRPr="00C81F07">
        <w:rPr>
          <w:rFonts w:ascii="Garamond" w:eastAsia="Garamond" w:hAnsi="Garamond" w:cs="Garamond"/>
          <w:sz w:val="22"/>
          <w:szCs w:val="22"/>
        </w:rPr>
        <w:t xml:space="preserve">tutti coloro con i quali </w:t>
      </w:r>
      <w:r w:rsidR="006279EF" w:rsidRPr="00C81F07">
        <w:rPr>
          <w:rFonts w:ascii="Garamond" w:eastAsia="Garamond" w:hAnsi="Garamond" w:cs="Garamond"/>
          <w:sz w:val="22"/>
          <w:szCs w:val="22"/>
        </w:rPr>
        <w:t>l</w:t>
      </w:r>
      <w:r w:rsidR="006279EF" w:rsidRPr="00C81F07">
        <w:rPr>
          <w:rFonts w:ascii="Garamond" w:hAnsi="Garamond"/>
          <w:b/>
          <w:sz w:val="22"/>
          <w:szCs w:val="22"/>
        </w:rPr>
        <w:t>’</w:t>
      </w:r>
      <w:r w:rsidR="006279EF" w:rsidRPr="00C81F07">
        <w:rPr>
          <w:rFonts w:ascii="Garamond" w:eastAsia="Gulim" w:hAnsi="Garamond"/>
          <w:b/>
          <w:sz w:val="22"/>
          <w:szCs w:val="22"/>
        </w:rPr>
        <w:t>Azienda Servizi Pubblici S.p.A.</w:t>
      </w:r>
      <w:r w:rsidR="006279EF" w:rsidRPr="00C81F07">
        <w:rPr>
          <w:rFonts w:ascii="Garamond" w:eastAsia="Gulim" w:hAnsi="Garamond"/>
          <w:sz w:val="22"/>
          <w:szCs w:val="22"/>
        </w:rPr>
        <w:t xml:space="preserve"> </w:t>
      </w:r>
      <w:r w:rsidRPr="00C81F07">
        <w:rPr>
          <w:rFonts w:ascii="Garamond" w:eastAsia="Garamond" w:hAnsi="Garamond" w:cs="Garamond"/>
          <w:sz w:val="22"/>
          <w:szCs w:val="22"/>
        </w:rPr>
        <w:t xml:space="preserve">entra in contatto nel corso della sua attività) </w:t>
      </w:r>
      <w:r w:rsidR="005D272B" w:rsidRPr="00C81F07">
        <w:rPr>
          <w:rFonts w:ascii="Garamond" w:eastAsia="Garamond" w:hAnsi="Garamond" w:cs="Garamond"/>
          <w:sz w:val="22"/>
          <w:szCs w:val="22"/>
        </w:rPr>
        <w:t xml:space="preserve">della </w:t>
      </w:r>
      <w:r w:rsidRPr="00C81F07">
        <w:rPr>
          <w:rFonts w:ascii="Garamond" w:eastAsia="Garamond" w:hAnsi="Garamond" w:cs="Garamond"/>
          <w:sz w:val="22"/>
          <w:szCs w:val="22"/>
        </w:rPr>
        <w:t>presente Policy, hanno il dovere di rimanere vigili per eventuali indizi indicanti che terze parti sono impegnate in comportamenti non etici o corrotti.</w:t>
      </w:r>
    </w:p>
    <w:p w14:paraId="501BCFB3" w14:textId="77777777" w:rsidR="00B0224B" w:rsidRPr="00C81F07" w:rsidRDefault="00B0224B" w:rsidP="00C81F07">
      <w:pPr>
        <w:jc w:val="both"/>
        <w:rPr>
          <w:rFonts w:ascii="Garamond" w:eastAsia="Garamond" w:hAnsi="Garamond" w:cs="Garamond"/>
          <w:sz w:val="22"/>
          <w:szCs w:val="22"/>
        </w:rPr>
      </w:pPr>
      <w:r w:rsidRPr="00C81F07">
        <w:rPr>
          <w:rFonts w:ascii="Garamond" w:eastAsia="Garamond" w:hAnsi="Garamond" w:cs="Garamond"/>
          <w:sz w:val="22"/>
          <w:szCs w:val="22"/>
        </w:rPr>
        <w:t xml:space="preserve">I Destinatari, quindi, dovranno essere particolarmente consapevoli dei seguenti possibili indicatori concernenti la corruzione: </w:t>
      </w:r>
    </w:p>
    <w:p w14:paraId="55FBEBDB"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Pagamenti in </w:t>
      </w:r>
      <w:r w:rsidR="00142AC3" w:rsidRPr="00C81F07">
        <w:rPr>
          <w:rFonts w:ascii="Garamond" w:eastAsia="Garamond" w:hAnsi="Garamond" w:cs="Garamond"/>
          <w:szCs w:val="22"/>
        </w:rPr>
        <w:t>contanti eccessivamente elevati;</w:t>
      </w:r>
    </w:p>
    <w:p w14:paraId="3C9404A1"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Pressione esercitata per pagamenti da effettuare con urgenz</w:t>
      </w:r>
      <w:r w:rsidR="00142AC3" w:rsidRPr="00C81F07">
        <w:rPr>
          <w:rFonts w:ascii="Garamond" w:eastAsia="Garamond" w:hAnsi="Garamond" w:cs="Garamond"/>
          <w:szCs w:val="22"/>
        </w:rPr>
        <w:t>a o comunque prima del previsto;</w:t>
      </w:r>
    </w:p>
    <w:p w14:paraId="158266B0"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Pagamenti effettuati attraverso una Terza Parte che risiede in un altro stato (</w:t>
      </w:r>
      <w:r w:rsidRPr="00C81F07">
        <w:rPr>
          <w:rFonts w:ascii="Garamond" w:eastAsia="Garamond" w:hAnsi="Garamond" w:cs="Garamond"/>
          <w:i/>
          <w:szCs w:val="22"/>
        </w:rPr>
        <w:t>ad esempio, beni e/o servizi forniti allo stato “A” ma il pagamento viene fatto ad una società di comodo</w:t>
      </w:r>
      <w:r w:rsidR="00142AC3" w:rsidRPr="00C81F07">
        <w:rPr>
          <w:rFonts w:ascii="Garamond" w:eastAsia="Garamond" w:hAnsi="Garamond" w:cs="Garamond"/>
          <w:i/>
          <w:szCs w:val="22"/>
        </w:rPr>
        <w:t xml:space="preserve"> </w:t>
      </w:r>
      <w:r w:rsidRPr="00C81F07">
        <w:rPr>
          <w:rFonts w:ascii="Garamond" w:eastAsia="Garamond" w:hAnsi="Garamond" w:cs="Garamond"/>
          <w:i/>
          <w:szCs w:val="22"/>
        </w:rPr>
        <w:t>localizzata nello stato “B”</w:t>
      </w:r>
      <w:r w:rsidRPr="00C81F07">
        <w:rPr>
          <w:rFonts w:ascii="Garamond" w:eastAsia="Garamond" w:hAnsi="Garamond" w:cs="Garamond"/>
          <w:szCs w:val="22"/>
        </w:rPr>
        <w:t>).</w:t>
      </w:r>
    </w:p>
    <w:p w14:paraId="46AA2B61"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Un compenso eccessivamente elevato pagato ad un consulente (</w:t>
      </w:r>
      <w:r w:rsidRPr="00C81F07">
        <w:rPr>
          <w:rFonts w:ascii="Garamond" w:eastAsia="Garamond" w:hAnsi="Garamond" w:cs="Garamond"/>
          <w:i/>
          <w:szCs w:val="22"/>
        </w:rPr>
        <w:t xml:space="preserve">il pagamento potrebbe essere effettuato verso due conti intestati allo stesso consulente, spesso in diverse </w:t>
      </w:r>
      <w:r w:rsidR="00142AC3" w:rsidRPr="00C81F07">
        <w:rPr>
          <w:rFonts w:ascii="Garamond" w:eastAsia="Garamond" w:hAnsi="Garamond" w:cs="Garamond"/>
          <w:i/>
          <w:szCs w:val="22"/>
        </w:rPr>
        <w:t>giurisdizioni</w:t>
      </w:r>
      <w:r w:rsidR="00142AC3" w:rsidRPr="00C81F07">
        <w:rPr>
          <w:rFonts w:ascii="Garamond" w:eastAsia="Garamond" w:hAnsi="Garamond" w:cs="Garamond"/>
          <w:szCs w:val="22"/>
        </w:rPr>
        <w:t>);</w:t>
      </w:r>
    </w:p>
    <w:p w14:paraId="094EFFFC"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Incontri diretti con soggetti pubblici o privati al fine di ricevere vantaggi in gare di appalto e </w:t>
      </w:r>
      <w:r w:rsidR="00142AC3" w:rsidRPr="00C81F07">
        <w:rPr>
          <w:rFonts w:ascii="Garamond" w:eastAsia="Garamond" w:hAnsi="Garamond" w:cs="Garamond"/>
          <w:szCs w:val="22"/>
        </w:rPr>
        <w:t>assegnazione di contratti;</w:t>
      </w:r>
    </w:p>
    <w:p w14:paraId="36BF0E8F"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Prendere decisioni non programmate o inusuali all’accettazione di incarichi progettuali o di </w:t>
      </w:r>
      <w:r w:rsidR="00142AC3" w:rsidRPr="00C81F07">
        <w:rPr>
          <w:rFonts w:ascii="Garamond" w:eastAsia="Garamond" w:hAnsi="Garamond" w:cs="Garamond"/>
          <w:szCs w:val="22"/>
        </w:rPr>
        <w:t>contratti;</w:t>
      </w:r>
    </w:p>
    <w:p w14:paraId="5A9E5DA3"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Assunzione di un soggetto che non abbia un livello di conoscenze o esperienza coerente con </w:t>
      </w:r>
      <w:r w:rsidR="00142AC3" w:rsidRPr="00C81F07">
        <w:rPr>
          <w:rFonts w:ascii="Garamond" w:eastAsia="Garamond" w:hAnsi="Garamond" w:cs="Garamond"/>
          <w:szCs w:val="22"/>
        </w:rPr>
        <w:t>il ruolo da ricoprire;</w:t>
      </w:r>
    </w:p>
    <w:p w14:paraId="087B2051"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Abuso del processo decisionale o dei po</w:t>
      </w:r>
      <w:r w:rsidR="00142AC3" w:rsidRPr="00C81F07">
        <w:rPr>
          <w:rFonts w:ascii="Garamond" w:eastAsia="Garamond" w:hAnsi="Garamond" w:cs="Garamond"/>
          <w:szCs w:val="22"/>
        </w:rPr>
        <w:t>teri delegati in casi specifici;</w:t>
      </w:r>
    </w:p>
    <w:p w14:paraId="76937EB1"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Accettare contratti non vantaggiosi per la Società sia con riferimento ai termini che con rife</w:t>
      </w:r>
      <w:r w:rsidR="00142AC3" w:rsidRPr="00C81F07">
        <w:rPr>
          <w:rFonts w:ascii="Garamond" w:eastAsia="Garamond" w:hAnsi="Garamond" w:cs="Garamond"/>
          <w:szCs w:val="22"/>
        </w:rPr>
        <w:t>rimento alla durata;</w:t>
      </w:r>
    </w:p>
    <w:p w14:paraId="13704025"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lastRenderedPageBreak/>
        <w:t xml:space="preserve">Accettare operazioni transattive con pagamento di penali senza una adeguata motivazione o </w:t>
      </w:r>
      <w:r w:rsidR="00142AC3" w:rsidRPr="00C81F07">
        <w:rPr>
          <w:rFonts w:ascii="Garamond" w:eastAsia="Garamond" w:hAnsi="Garamond" w:cs="Garamond"/>
          <w:szCs w:val="22"/>
        </w:rPr>
        <w:t>documentazione;</w:t>
      </w:r>
    </w:p>
    <w:p w14:paraId="54597806"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Preferenza inspiegabile o non adeguatamente motiv</w:t>
      </w:r>
      <w:r w:rsidR="00142AC3" w:rsidRPr="00C81F07">
        <w:rPr>
          <w:rFonts w:ascii="Garamond" w:eastAsia="Garamond" w:hAnsi="Garamond" w:cs="Garamond"/>
          <w:szCs w:val="22"/>
        </w:rPr>
        <w:t>ata verso determinati fornitori;</w:t>
      </w:r>
    </w:p>
    <w:p w14:paraId="075E5AF2"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Evitare controlli indipendenti sul processo di acquisto e </w:t>
      </w:r>
      <w:r w:rsidR="00142AC3" w:rsidRPr="00C81F07">
        <w:rPr>
          <w:rFonts w:ascii="Garamond" w:eastAsia="Garamond" w:hAnsi="Garamond" w:cs="Garamond"/>
          <w:szCs w:val="22"/>
        </w:rPr>
        <w:t>sulla valutazione dei fornitori;</w:t>
      </w:r>
    </w:p>
    <w:p w14:paraId="49D3A472"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Aggirare le procedure interne in materia di appro</w:t>
      </w:r>
      <w:r w:rsidR="00142AC3" w:rsidRPr="00C81F07">
        <w:rPr>
          <w:rFonts w:ascii="Garamond" w:eastAsia="Garamond" w:hAnsi="Garamond" w:cs="Garamond"/>
          <w:szCs w:val="22"/>
        </w:rPr>
        <w:t>vvigionamenti di beni o servizi;</w:t>
      </w:r>
    </w:p>
    <w:p w14:paraId="57587B89"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Accordi sull’emissione di fatture più elevate rispetto ai termini contrattuali formalizzati, senza valide motivazioni di support</w:t>
      </w:r>
      <w:r w:rsidR="00142AC3" w:rsidRPr="00C81F07">
        <w:rPr>
          <w:rFonts w:ascii="Garamond" w:eastAsia="Garamond" w:hAnsi="Garamond" w:cs="Garamond"/>
          <w:szCs w:val="22"/>
        </w:rPr>
        <w:t>o;</w:t>
      </w:r>
    </w:p>
    <w:p w14:paraId="7888139A" w14:textId="77777777" w:rsidR="00B0224B" w:rsidRPr="00C81F07" w:rsidRDefault="00B0224B" w:rsidP="00C81F07">
      <w:pPr>
        <w:pStyle w:val="Paragrafoelenco"/>
        <w:numPr>
          <w:ilvl w:val="0"/>
          <w:numId w:val="13"/>
        </w:numPr>
        <w:jc w:val="both"/>
        <w:rPr>
          <w:rFonts w:ascii="Garamond" w:eastAsia="Garamond" w:hAnsi="Garamond" w:cs="Garamond"/>
          <w:szCs w:val="22"/>
        </w:rPr>
      </w:pPr>
      <w:r w:rsidRPr="00C81F07">
        <w:rPr>
          <w:rFonts w:ascii="Garamond" w:eastAsia="Garamond" w:hAnsi="Garamond" w:cs="Garamond"/>
          <w:szCs w:val="22"/>
        </w:rPr>
        <w:t xml:space="preserve"> Mancata conformità alle procedure</w:t>
      </w:r>
      <w:r w:rsidR="00142AC3" w:rsidRPr="00C81F07">
        <w:rPr>
          <w:rFonts w:ascii="Garamond" w:eastAsia="Garamond" w:hAnsi="Garamond" w:cs="Garamond"/>
          <w:szCs w:val="22"/>
        </w:rPr>
        <w:t xml:space="preserve"> e/o alle linee guida aziendali;</w:t>
      </w:r>
    </w:p>
    <w:p w14:paraId="1764FD2C" w14:textId="77777777" w:rsidR="00B0224B" w:rsidRPr="00C81F07" w:rsidRDefault="004A126B" w:rsidP="00C81F07">
      <w:pPr>
        <w:jc w:val="both"/>
        <w:rPr>
          <w:rFonts w:ascii="Garamond" w:eastAsia="Garamond" w:hAnsi="Garamond" w:cs="Garamond"/>
          <w:sz w:val="22"/>
          <w:szCs w:val="22"/>
        </w:rPr>
      </w:pPr>
      <w:r w:rsidRPr="00C81F07">
        <w:rPr>
          <w:rFonts w:ascii="Garamond" w:eastAsia="Garamond" w:hAnsi="Garamond" w:cs="Garamond"/>
          <w:sz w:val="22"/>
          <w:szCs w:val="22"/>
          <w:lang w:val="it"/>
        </w:rPr>
        <w:t xml:space="preserve">La Policy aziendale per la </w:t>
      </w:r>
      <w:r w:rsidR="00B0224B" w:rsidRPr="00C81F07">
        <w:rPr>
          <w:rFonts w:ascii="Garamond" w:eastAsia="Garamond" w:hAnsi="Garamond" w:cs="Garamond"/>
          <w:sz w:val="22"/>
          <w:szCs w:val="22"/>
          <w:lang w:val="it"/>
        </w:rPr>
        <w:t xml:space="preserve">Prevenzione della Corruzione </w:t>
      </w:r>
      <w:r w:rsidR="00B0224B" w:rsidRPr="00C81F07">
        <w:rPr>
          <w:rFonts w:ascii="Garamond" w:eastAsia="Garamond" w:hAnsi="Garamond" w:cs="Garamond"/>
          <w:sz w:val="22"/>
          <w:szCs w:val="22"/>
        </w:rPr>
        <w:t xml:space="preserve">è disponibile in originale presso la Direzione aziendale e scaricabile dal sito web della Società </w:t>
      </w:r>
      <w:r w:rsidR="009F7501" w:rsidRPr="00C81F07">
        <w:rPr>
          <w:rFonts w:ascii="Garamond" w:eastAsia="Gulim" w:hAnsi="Garamond"/>
          <w:b/>
          <w:sz w:val="22"/>
          <w:szCs w:val="22"/>
        </w:rPr>
        <w:t>Azienda Servizi Pubblici S.p.A.</w:t>
      </w:r>
    </w:p>
    <w:p w14:paraId="18514F23" w14:textId="77777777" w:rsidR="008D0D1C" w:rsidRPr="00C81F07" w:rsidRDefault="005D272B" w:rsidP="00C81F07">
      <w:pPr>
        <w:tabs>
          <w:tab w:val="left" w:pos="0"/>
          <w:tab w:val="left" w:pos="142"/>
        </w:tabs>
        <w:jc w:val="both"/>
        <w:rPr>
          <w:rFonts w:ascii="Garamond" w:hAnsi="Garamond" w:cs="Garamond"/>
          <w:sz w:val="22"/>
          <w:szCs w:val="22"/>
        </w:rPr>
      </w:pPr>
      <w:r w:rsidRPr="00C81F07">
        <w:rPr>
          <w:rFonts w:ascii="Garamond" w:hAnsi="Garamond" w:cs="Garamond"/>
          <w:sz w:val="22"/>
          <w:szCs w:val="22"/>
        </w:rPr>
        <w:t xml:space="preserve">Gli strumenti operativi per l’attuazione della </w:t>
      </w:r>
      <w:r w:rsidR="008D0D1C" w:rsidRPr="00C81F07">
        <w:rPr>
          <w:rFonts w:ascii="Garamond" w:hAnsi="Garamond" w:cs="Garamond"/>
          <w:sz w:val="22"/>
          <w:szCs w:val="22"/>
        </w:rPr>
        <w:t xml:space="preserve">Politica e </w:t>
      </w:r>
      <w:r w:rsidRPr="00C81F07">
        <w:rPr>
          <w:rFonts w:ascii="Garamond" w:hAnsi="Garamond" w:cs="Garamond"/>
          <w:sz w:val="22"/>
          <w:szCs w:val="22"/>
        </w:rPr>
        <w:t>dell’</w:t>
      </w:r>
      <w:r w:rsidR="009F7501" w:rsidRPr="00C81F07">
        <w:rPr>
          <w:rFonts w:ascii="Garamond" w:hAnsi="Garamond" w:cs="Garamond"/>
          <w:sz w:val="22"/>
          <w:szCs w:val="22"/>
        </w:rPr>
        <w:t xml:space="preserve">Impegno Etico </w:t>
      </w:r>
      <w:r w:rsidR="009F7501" w:rsidRPr="00C81F07">
        <w:rPr>
          <w:rFonts w:ascii="Garamond" w:hAnsi="Garamond"/>
          <w:b/>
          <w:sz w:val="22"/>
          <w:szCs w:val="22"/>
        </w:rPr>
        <w:t>dell’</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Pr="00C81F07">
        <w:rPr>
          <w:rFonts w:ascii="Garamond" w:hAnsi="Garamond" w:cs="Garamond"/>
          <w:sz w:val="22"/>
          <w:szCs w:val="22"/>
        </w:rPr>
        <w:t>sono</w:t>
      </w:r>
      <w:r w:rsidR="008D0D1C" w:rsidRPr="00C81F07">
        <w:rPr>
          <w:rFonts w:ascii="Garamond" w:hAnsi="Garamond" w:cs="Garamond"/>
          <w:sz w:val="22"/>
          <w:szCs w:val="22"/>
        </w:rPr>
        <w:t xml:space="preserve"> </w:t>
      </w:r>
      <w:r w:rsidRPr="00C81F07">
        <w:rPr>
          <w:rFonts w:ascii="Garamond" w:hAnsi="Garamond" w:cs="Garamond"/>
          <w:sz w:val="22"/>
          <w:szCs w:val="22"/>
        </w:rPr>
        <w:t>costituiti</w:t>
      </w:r>
      <w:r w:rsidR="008D0D1C" w:rsidRPr="00C81F07">
        <w:rPr>
          <w:rFonts w:ascii="Garamond" w:hAnsi="Garamond" w:cs="Garamond"/>
          <w:sz w:val="22"/>
          <w:szCs w:val="22"/>
        </w:rPr>
        <w:t xml:space="preserve"> da:</w:t>
      </w:r>
    </w:p>
    <w:p w14:paraId="0255B681" w14:textId="77777777" w:rsidR="00C81F07" w:rsidRPr="00C81F07" w:rsidRDefault="00C81F07" w:rsidP="00C81F07">
      <w:pPr>
        <w:pStyle w:val="Paragrafoelenco"/>
        <w:tabs>
          <w:tab w:val="left" w:pos="0"/>
          <w:tab w:val="left" w:pos="142"/>
        </w:tabs>
        <w:autoSpaceDN w:val="0"/>
        <w:ind w:left="0"/>
        <w:contextualSpacing w:val="0"/>
        <w:rPr>
          <w:rFonts w:ascii="Garamond" w:hAnsi="Garamond"/>
          <w:szCs w:val="22"/>
        </w:rPr>
      </w:pPr>
      <w:r w:rsidRPr="00C81F07">
        <w:rPr>
          <w:rFonts w:ascii="Garamond" w:hAnsi="Garamond"/>
          <w:szCs w:val="22"/>
        </w:rPr>
        <w:t>- Codice Etico, Codice di Comportamento e Codice Sanzionatorio (</w:t>
      </w:r>
      <w:r w:rsidRPr="00C81F07">
        <w:rPr>
          <w:rFonts w:ascii="Garamond" w:hAnsi="Garamond"/>
          <w:b/>
          <w:szCs w:val="22"/>
        </w:rPr>
        <w:t>Allegato 2.1.</w:t>
      </w:r>
      <w:r w:rsidRPr="00C81F07">
        <w:rPr>
          <w:rFonts w:ascii="Garamond" w:hAnsi="Garamond"/>
          <w:szCs w:val="22"/>
        </w:rPr>
        <w:t>)</w:t>
      </w:r>
    </w:p>
    <w:p w14:paraId="2D471C9A" w14:textId="77777777" w:rsidR="00C81F07" w:rsidRPr="00C81F07" w:rsidRDefault="00C81F07" w:rsidP="00C81F07">
      <w:pPr>
        <w:pStyle w:val="Paragrafoelenco"/>
        <w:tabs>
          <w:tab w:val="left" w:pos="0"/>
          <w:tab w:val="left" w:pos="142"/>
        </w:tabs>
        <w:autoSpaceDN w:val="0"/>
        <w:ind w:left="0"/>
        <w:contextualSpacing w:val="0"/>
        <w:rPr>
          <w:rFonts w:ascii="Garamond" w:hAnsi="Garamond"/>
          <w:szCs w:val="22"/>
        </w:rPr>
      </w:pPr>
      <w:r w:rsidRPr="00C81F07">
        <w:rPr>
          <w:rFonts w:ascii="Garamond" w:hAnsi="Garamond"/>
          <w:szCs w:val="22"/>
        </w:rPr>
        <w:t>- Linee guida sul conflitto di interessi (</w:t>
      </w:r>
      <w:r w:rsidRPr="00C81F07">
        <w:rPr>
          <w:rFonts w:ascii="Garamond" w:hAnsi="Garamond"/>
          <w:b/>
          <w:szCs w:val="22"/>
        </w:rPr>
        <w:t>Allegato 2.2)</w:t>
      </w:r>
    </w:p>
    <w:p w14:paraId="1C20FA18" w14:textId="77777777" w:rsidR="00C81F07" w:rsidRPr="00C81F07" w:rsidRDefault="00C81F07" w:rsidP="00C81F07">
      <w:pPr>
        <w:pStyle w:val="Paragrafoelenco"/>
        <w:tabs>
          <w:tab w:val="left" w:pos="0"/>
          <w:tab w:val="left" w:pos="142"/>
        </w:tabs>
        <w:autoSpaceDN w:val="0"/>
        <w:ind w:left="0"/>
        <w:contextualSpacing w:val="0"/>
        <w:rPr>
          <w:rFonts w:ascii="Garamond" w:hAnsi="Garamond"/>
          <w:b/>
          <w:szCs w:val="22"/>
        </w:rPr>
      </w:pPr>
      <w:r w:rsidRPr="00C81F07">
        <w:rPr>
          <w:rFonts w:ascii="Garamond" w:hAnsi="Garamond"/>
          <w:szCs w:val="22"/>
        </w:rPr>
        <w:t xml:space="preserve">- Regole di comportamento dei dipendenti </w:t>
      </w:r>
      <w:r w:rsidRPr="00C81F07">
        <w:rPr>
          <w:rFonts w:ascii="Garamond" w:hAnsi="Garamond"/>
          <w:b/>
          <w:szCs w:val="22"/>
        </w:rPr>
        <w:t>(Allegato 2.3)</w:t>
      </w:r>
    </w:p>
    <w:p w14:paraId="38273366" w14:textId="77777777" w:rsidR="00C81F07" w:rsidRPr="00C81F07" w:rsidRDefault="00C81F07" w:rsidP="00C81F07">
      <w:pPr>
        <w:tabs>
          <w:tab w:val="left" w:pos="0"/>
          <w:tab w:val="left" w:pos="142"/>
        </w:tabs>
        <w:jc w:val="both"/>
        <w:rPr>
          <w:rFonts w:ascii="Garamond" w:hAnsi="Garamond" w:cs="Garamond"/>
          <w:sz w:val="22"/>
          <w:szCs w:val="22"/>
        </w:rPr>
      </w:pPr>
      <w:r w:rsidRPr="00C81F07">
        <w:rPr>
          <w:rFonts w:ascii="Garamond" w:hAnsi="Garamond"/>
          <w:sz w:val="22"/>
          <w:szCs w:val="22"/>
        </w:rPr>
        <w:t xml:space="preserve">- Regole di comportamento con i fornitori </w:t>
      </w:r>
      <w:r w:rsidRPr="00C81F07">
        <w:rPr>
          <w:rFonts w:ascii="Garamond" w:hAnsi="Garamond"/>
          <w:b/>
          <w:sz w:val="22"/>
          <w:szCs w:val="22"/>
        </w:rPr>
        <w:t>(Allegato 2.4)</w:t>
      </w:r>
    </w:p>
    <w:p w14:paraId="52EBB13C" w14:textId="6C463E90" w:rsidR="00E83212" w:rsidRDefault="004B1A2A" w:rsidP="00C81F07">
      <w:pPr>
        <w:jc w:val="both"/>
        <w:rPr>
          <w:rFonts w:ascii="Garamond" w:hAnsi="Garamond"/>
          <w:sz w:val="22"/>
          <w:szCs w:val="22"/>
        </w:rPr>
      </w:pPr>
      <w:r w:rsidRPr="00C81F07">
        <w:rPr>
          <w:rFonts w:ascii="Garamond" w:eastAsia="Garamond" w:hAnsi="Garamond" w:cs="Garamond"/>
          <w:sz w:val="22"/>
          <w:szCs w:val="22"/>
          <w:lang w:val="it"/>
        </w:rPr>
        <w:t xml:space="preserve">La Policy aziendale per la Prevenzione della Corruzione </w:t>
      </w:r>
      <w:r w:rsidRPr="00C81F07">
        <w:rPr>
          <w:rFonts w:ascii="Garamond" w:eastAsia="Garamond" w:hAnsi="Garamond" w:cs="Garamond"/>
          <w:sz w:val="22"/>
          <w:szCs w:val="22"/>
        </w:rPr>
        <w:t>è disponibile in originale presso la Direzione aziendale e scarica</w:t>
      </w:r>
      <w:r w:rsidR="009F7501" w:rsidRPr="00C81F07">
        <w:rPr>
          <w:rFonts w:ascii="Garamond" w:eastAsia="Garamond" w:hAnsi="Garamond" w:cs="Garamond"/>
          <w:sz w:val="22"/>
          <w:szCs w:val="22"/>
        </w:rPr>
        <w:t xml:space="preserve">bile dal sito web della Società </w:t>
      </w:r>
      <w:r w:rsidR="009F7501" w:rsidRPr="00C81F07">
        <w:rPr>
          <w:rFonts w:ascii="Garamond" w:eastAsia="Gulim" w:hAnsi="Garamond"/>
          <w:b/>
          <w:sz w:val="22"/>
          <w:szCs w:val="22"/>
        </w:rPr>
        <w:t>Azienda Servizi Pubblici S.p.A.</w:t>
      </w:r>
      <w:r w:rsidR="009F7501" w:rsidRPr="00C81F07">
        <w:rPr>
          <w:rFonts w:ascii="Garamond" w:eastAsia="Gulim" w:hAnsi="Garamond"/>
          <w:sz w:val="22"/>
          <w:szCs w:val="22"/>
        </w:rPr>
        <w:t xml:space="preserve"> </w:t>
      </w:r>
      <w:r w:rsidR="009F7501" w:rsidRPr="00C81F07">
        <w:rPr>
          <w:rFonts w:ascii="Garamond" w:hAnsi="Garamond"/>
          <w:sz w:val="22"/>
          <w:szCs w:val="22"/>
        </w:rPr>
        <w:t xml:space="preserve"> </w:t>
      </w:r>
    </w:p>
    <w:p w14:paraId="5DDB0AA1" w14:textId="3733A71E" w:rsidR="000D7972" w:rsidRDefault="000D7972" w:rsidP="00C81F07">
      <w:pPr>
        <w:jc w:val="both"/>
        <w:rPr>
          <w:rFonts w:ascii="Garamond" w:hAnsi="Garamond"/>
          <w:sz w:val="22"/>
          <w:szCs w:val="22"/>
        </w:rPr>
      </w:pPr>
    </w:p>
    <w:p w14:paraId="539F0190" w14:textId="160BDF16" w:rsidR="000D7972" w:rsidRDefault="000D7972" w:rsidP="00C81F07">
      <w:pPr>
        <w:jc w:val="both"/>
        <w:rPr>
          <w:rFonts w:ascii="Garamond" w:hAnsi="Garamond"/>
          <w:sz w:val="22"/>
          <w:szCs w:val="22"/>
        </w:rPr>
      </w:pPr>
    </w:p>
    <w:p w14:paraId="607A0670" w14:textId="4455E069" w:rsidR="000D7972" w:rsidRDefault="000D7972" w:rsidP="00C81F07">
      <w:pPr>
        <w:jc w:val="both"/>
        <w:rPr>
          <w:rFonts w:ascii="Garamond" w:hAnsi="Garamond"/>
          <w:sz w:val="22"/>
          <w:szCs w:val="22"/>
        </w:rPr>
      </w:pPr>
    </w:p>
    <w:p w14:paraId="2D8F014D" w14:textId="6231A2B0" w:rsidR="000D7972" w:rsidRDefault="000D7972" w:rsidP="00C81F07">
      <w:pPr>
        <w:jc w:val="both"/>
        <w:rPr>
          <w:rFonts w:ascii="Garamond" w:hAnsi="Garamond"/>
          <w:sz w:val="22"/>
          <w:szCs w:val="22"/>
        </w:rPr>
      </w:pPr>
    </w:p>
    <w:p w14:paraId="253B313A" w14:textId="6ADC3823" w:rsidR="000D7972" w:rsidRDefault="000D7972" w:rsidP="00C81F07">
      <w:pPr>
        <w:jc w:val="both"/>
        <w:rPr>
          <w:rFonts w:ascii="Garamond" w:hAnsi="Garamond"/>
          <w:sz w:val="22"/>
          <w:szCs w:val="22"/>
        </w:rPr>
      </w:pPr>
    </w:p>
    <w:p w14:paraId="1D628E27" w14:textId="68F43652" w:rsidR="000D7972" w:rsidRDefault="000D7972" w:rsidP="00C81F07">
      <w:pPr>
        <w:jc w:val="both"/>
        <w:rPr>
          <w:rFonts w:ascii="Garamond" w:hAnsi="Garamond"/>
          <w:sz w:val="22"/>
          <w:szCs w:val="22"/>
        </w:rPr>
      </w:pPr>
    </w:p>
    <w:p w14:paraId="7BD4E4EA" w14:textId="315EF240" w:rsidR="000D7972" w:rsidRDefault="000D7972" w:rsidP="00C81F07">
      <w:pPr>
        <w:jc w:val="both"/>
        <w:rPr>
          <w:rFonts w:ascii="Garamond" w:hAnsi="Garamond"/>
          <w:sz w:val="22"/>
          <w:szCs w:val="22"/>
        </w:rPr>
      </w:pPr>
    </w:p>
    <w:p w14:paraId="228043DD" w14:textId="2DB83B1F" w:rsidR="000D7972" w:rsidRDefault="000D7972" w:rsidP="00C81F07">
      <w:pPr>
        <w:jc w:val="both"/>
        <w:rPr>
          <w:rFonts w:ascii="Garamond" w:hAnsi="Garamond"/>
          <w:sz w:val="22"/>
          <w:szCs w:val="22"/>
        </w:rPr>
      </w:pPr>
    </w:p>
    <w:p w14:paraId="0FC0D2D5" w14:textId="7364DC30" w:rsidR="000D7972" w:rsidRDefault="000D7972" w:rsidP="00C81F07">
      <w:pPr>
        <w:jc w:val="both"/>
        <w:rPr>
          <w:rFonts w:ascii="Garamond" w:hAnsi="Garamond"/>
          <w:sz w:val="22"/>
          <w:szCs w:val="22"/>
        </w:rPr>
      </w:pPr>
    </w:p>
    <w:p w14:paraId="7F602115" w14:textId="25E22861" w:rsidR="000D7972" w:rsidRDefault="000D7972" w:rsidP="00C81F07">
      <w:pPr>
        <w:jc w:val="both"/>
        <w:rPr>
          <w:rFonts w:ascii="Garamond" w:hAnsi="Garamond"/>
          <w:sz w:val="22"/>
          <w:szCs w:val="22"/>
        </w:rPr>
      </w:pPr>
    </w:p>
    <w:p w14:paraId="7033CD8E" w14:textId="0E61A2E5" w:rsidR="000D7972" w:rsidRDefault="000D7972" w:rsidP="00C81F07">
      <w:pPr>
        <w:jc w:val="both"/>
        <w:rPr>
          <w:rFonts w:ascii="Garamond" w:hAnsi="Garamond"/>
          <w:sz w:val="22"/>
          <w:szCs w:val="22"/>
        </w:rPr>
      </w:pPr>
    </w:p>
    <w:p w14:paraId="52B2EAA8" w14:textId="34E1031A" w:rsidR="000D7972" w:rsidRDefault="000D7972" w:rsidP="00C81F07">
      <w:pPr>
        <w:jc w:val="both"/>
        <w:rPr>
          <w:rFonts w:ascii="Garamond" w:hAnsi="Garamond"/>
          <w:sz w:val="22"/>
          <w:szCs w:val="22"/>
        </w:rPr>
      </w:pPr>
    </w:p>
    <w:p w14:paraId="3740CEA4" w14:textId="77777777" w:rsidR="000D7972" w:rsidRPr="00C81F07" w:rsidRDefault="000D7972" w:rsidP="00C81F07">
      <w:pPr>
        <w:jc w:val="both"/>
        <w:rPr>
          <w:rFonts w:ascii="Garamond" w:hAnsi="Garamond" w:cs="Arial"/>
          <w:sz w:val="22"/>
          <w:szCs w:val="22"/>
        </w:rPr>
      </w:pPr>
    </w:p>
    <w:sectPr w:rsidR="000D7972" w:rsidRPr="00C81F0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472F" w14:textId="77777777" w:rsidR="00FE0A01" w:rsidRDefault="00FE0A01">
      <w:r>
        <w:separator/>
      </w:r>
    </w:p>
  </w:endnote>
  <w:endnote w:type="continuationSeparator" w:id="0">
    <w:p w14:paraId="17D2A978" w14:textId="77777777" w:rsidR="00FE0A01" w:rsidRDefault="00FE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otham Light">
    <w:altName w:val="Times New Roman"/>
    <w:charset w:val="00"/>
    <w:family w:val="auto"/>
    <w:pitch w:val="variable"/>
    <w:sig w:usb0="00000001" w:usb1="40000048" w:usb2="00000000" w:usb3="00000000" w:csb0="0000011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2D39" w14:textId="77777777" w:rsidR="00326919" w:rsidRDefault="003269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764F" w14:textId="77777777" w:rsidR="00A441F2" w:rsidRDefault="00A441F2" w:rsidP="00A441F2">
    <w:pPr>
      <w:jc w:val="center"/>
      <w:rPr>
        <w:sz w:val="20"/>
        <w:szCs w:val="20"/>
      </w:rPr>
    </w:pPr>
  </w:p>
  <w:p w14:paraId="1C308ADF" w14:textId="77777777" w:rsidR="009F7501" w:rsidRPr="006929AE" w:rsidRDefault="00A441F2" w:rsidP="00FD7D9A">
    <w:pPr>
      <w:jc w:val="center"/>
      <w:rPr>
        <w:rFonts w:ascii="Garamond" w:hAnsi="Garamond"/>
        <w:sz w:val="20"/>
        <w:szCs w:val="20"/>
      </w:rPr>
    </w:pPr>
    <w:r w:rsidRPr="006929AE">
      <w:rPr>
        <w:rFonts w:ascii="Garamond" w:hAnsi="Garamond"/>
        <w:sz w:val="20"/>
        <w:szCs w:val="20"/>
      </w:rPr>
      <w:t xml:space="preserve">Approvato dal </w:t>
    </w:r>
    <w:r w:rsidR="00784D52">
      <w:rPr>
        <w:rFonts w:ascii="Garamond" w:hAnsi="Garamond"/>
        <w:sz w:val="20"/>
        <w:szCs w:val="20"/>
      </w:rPr>
      <w:t>Amministratore Unico</w:t>
    </w:r>
    <w:r w:rsidR="009F7501" w:rsidRPr="006929AE">
      <w:rPr>
        <w:rFonts w:ascii="Garamond" w:hAnsi="Garamond"/>
        <w:sz w:val="20"/>
        <w:szCs w:val="20"/>
      </w:rPr>
      <w:t xml:space="preserve"> </w:t>
    </w:r>
    <w:r w:rsidR="009F7501" w:rsidRPr="006929AE">
      <w:rPr>
        <w:rFonts w:ascii="Garamond" w:hAnsi="Garamond"/>
        <w:b/>
        <w:sz w:val="20"/>
        <w:szCs w:val="20"/>
      </w:rPr>
      <w:t>dell’</w:t>
    </w:r>
    <w:r w:rsidR="009F7501" w:rsidRPr="006929AE">
      <w:rPr>
        <w:rFonts w:ascii="Garamond" w:eastAsia="Gulim" w:hAnsi="Garamond"/>
        <w:b/>
        <w:sz w:val="20"/>
        <w:szCs w:val="20"/>
      </w:rPr>
      <w:t>Azienda Servizi Pubblici S.p.A.</w:t>
    </w:r>
    <w:r w:rsidR="009F7501" w:rsidRPr="006929AE">
      <w:rPr>
        <w:rFonts w:ascii="Garamond" w:eastAsia="Gulim" w:hAnsi="Garamond"/>
        <w:sz w:val="20"/>
        <w:szCs w:val="20"/>
      </w:rPr>
      <w:t xml:space="preserve"> </w:t>
    </w:r>
    <w:r w:rsidR="009F7501" w:rsidRPr="006929AE">
      <w:rPr>
        <w:rFonts w:ascii="Garamond" w:hAnsi="Garamond"/>
        <w:sz w:val="20"/>
        <w:szCs w:val="20"/>
      </w:rPr>
      <w:t xml:space="preserve"> </w:t>
    </w:r>
  </w:p>
  <w:p w14:paraId="0D4C3C25" w14:textId="77777777" w:rsidR="00872F49" w:rsidRPr="006929AE" w:rsidRDefault="00A441F2" w:rsidP="00FD7D9A">
    <w:pPr>
      <w:jc w:val="center"/>
      <w:rPr>
        <w:rFonts w:ascii="Garamond" w:hAnsi="Garamond"/>
        <w:sz w:val="20"/>
        <w:szCs w:val="20"/>
      </w:rPr>
    </w:pPr>
    <w:r w:rsidRPr="006929AE">
      <w:rPr>
        <w:rFonts w:ascii="Garamond" w:hAnsi="Garamond"/>
        <w:sz w:val="20"/>
        <w:szCs w:val="20"/>
      </w:rPr>
      <w:t xml:space="preserve">Seduta del </w:t>
    </w:r>
    <w:r w:rsidR="006929AE" w:rsidRPr="006929AE">
      <w:rPr>
        <w:rFonts w:ascii="Garamond" w:hAnsi="Garamond"/>
        <w:sz w:val="20"/>
        <w:szCs w:val="20"/>
      </w:rPr>
      <w:t>31 maggio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69D" w14:textId="77777777" w:rsidR="00326919" w:rsidRDefault="003269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DFED" w14:textId="77777777" w:rsidR="00FE0A01" w:rsidRDefault="00FE0A01">
      <w:r>
        <w:separator/>
      </w:r>
    </w:p>
  </w:footnote>
  <w:footnote w:type="continuationSeparator" w:id="0">
    <w:p w14:paraId="6CD50D54" w14:textId="77777777" w:rsidR="00FE0A01" w:rsidRDefault="00FE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C8DC" w14:textId="77777777" w:rsidR="00326919" w:rsidRDefault="003269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jc w:val="center"/>
      <w:tblLayout w:type="fixed"/>
      <w:tblCellMar>
        <w:left w:w="70" w:type="dxa"/>
        <w:right w:w="70" w:type="dxa"/>
      </w:tblCellMar>
      <w:tblLook w:val="04A0" w:firstRow="1" w:lastRow="0" w:firstColumn="1" w:lastColumn="0" w:noHBand="0" w:noVBand="1"/>
    </w:tblPr>
    <w:tblGrid>
      <w:gridCol w:w="2153"/>
      <w:gridCol w:w="4780"/>
      <w:gridCol w:w="2247"/>
    </w:tblGrid>
    <w:tr w:rsidR="00326919" w14:paraId="279371DE" w14:textId="77777777" w:rsidTr="00FB060E">
      <w:trPr>
        <w:cantSplit/>
        <w:trHeight w:val="951"/>
        <w:jc w:val="center"/>
      </w:trPr>
      <w:tc>
        <w:tcPr>
          <w:tcW w:w="2155" w:type="dxa"/>
          <w:vMerge w:val="restart"/>
          <w:tcBorders>
            <w:top w:val="single" w:sz="6" w:space="0" w:color="auto"/>
            <w:left w:val="single" w:sz="6" w:space="0" w:color="auto"/>
            <w:bottom w:val="nil"/>
            <w:right w:val="single" w:sz="6" w:space="0" w:color="auto"/>
          </w:tcBorders>
          <w:vAlign w:val="center"/>
          <w:hideMark/>
        </w:tcPr>
        <w:p w14:paraId="57B732E7" w14:textId="77777777" w:rsidR="00326919" w:rsidRDefault="00326919" w:rsidP="00326919">
          <w:r w:rsidRPr="00A87158">
            <w:rPr>
              <w:noProof/>
            </w:rPr>
            <w:drawing>
              <wp:inline distT="0" distB="0" distL="0" distR="0" wp14:anchorId="2BFE0974" wp14:editId="4BBD7AFC">
                <wp:extent cx="1225550" cy="685800"/>
                <wp:effectExtent l="0" t="0" r="0" b="0"/>
                <wp:docPr id="13" name="Immagine 13"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4783" w:type="dxa"/>
          <w:vMerge w:val="restart"/>
          <w:tcBorders>
            <w:top w:val="single" w:sz="4" w:space="0" w:color="auto"/>
            <w:left w:val="single" w:sz="6" w:space="0" w:color="auto"/>
            <w:bottom w:val="nil"/>
            <w:right w:val="nil"/>
          </w:tcBorders>
          <w:vAlign w:val="center"/>
        </w:tcPr>
        <w:p w14:paraId="2A28BD68" w14:textId="77777777" w:rsidR="00326919" w:rsidRDefault="00326919" w:rsidP="00326919">
          <w:pPr>
            <w:jc w:val="center"/>
            <w:rPr>
              <w:rFonts w:cs="Arial"/>
              <w:b/>
            </w:rPr>
          </w:pPr>
        </w:p>
        <w:p w14:paraId="77F7116D" w14:textId="77777777" w:rsidR="00326919" w:rsidRPr="00326919" w:rsidRDefault="00326919" w:rsidP="00326919">
          <w:pPr>
            <w:jc w:val="center"/>
            <w:rPr>
              <w:rFonts w:cs="Arial"/>
              <w:b/>
              <w:sz w:val="16"/>
              <w:szCs w:val="16"/>
            </w:rPr>
          </w:pPr>
          <w:r w:rsidRPr="00326919">
            <w:rPr>
              <w:rFonts w:cs="Arial"/>
              <w:b/>
              <w:sz w:val="16"/>
              <w:szCs w:val="16"/>
            </w:rPr>
            <w:t>Modello di Organizzazione, Gestione e Controllo ex Decreto Legislativo 8 giugno 2001, n. 231</w:t>
          </w:r>
        </w:p>
        <w:p w14:paraId="133D8F5D" w14:textId="41BB02A3" w:rsidR="00326919" w:rsidRPr="00326919" w:rsidRDefault="00326919" w:rsidP="00326919">
          <w:pPr>
            <w:spacing w:after="40"/>
            <w:jc w:val="center"/>
            <w:rPr>
              <w:rFonts w:ascii="Garamond" w:hAnsi="Garamond"/>
              <w:b/>
              <w:bCs/>
            </w:rPr>
          </w:pPr>
          <w:r w:rsidRPr="00326919">
            <w:rPr>
              <w:rFonts w:ascii="Garamond" w:hAnsi="Garamond" w:cs="Garamond"/>
              <w:b/>
              <w:bCs/>
              <w:sz w:val="16"/>
              <w:szCs w:val="16"/>
            </w:rPr>
            <w:t>Politica e dell’Impegno Etico</w:t>
          </w:r>
        </w:p>
      </w:tc>
      <w:tc>
        <w:tcPr>
          <w:tcW w:w="2248" w:type="dxa"/>
          <w:tcBorders>
            <w:top w:val="single" w:sz="6" w:space="0" w:color="auto"/>
            <w:left w:val="single" w:sz="6" w:space="0" w:color="auto"/>
            <w:bottom w:val="nil"/>
            <w:right w:val="single" w:sz="6" w:space="0" w:color="auto"/>
          </w:tcBorders>
          <w:vAlign w:val="center"/>
          <w:hideMark/>
        </w:tcPr>
        <w:p w14:paraId="3BB19AFB" w14:textId="77777777" w:rsidR="00326919" w:rsidRPr="00690F5B" w:rsidRDefault="00326919" w:rsidP="00326919">
          <w:pPr>
            <w:jc w:val="center"/>
            <w:rPr>
              <w:b/>
              <w:bCs/>
              <w:sz w:val="18"/>
            </w:rPr>
          </w:pPr>
          <w:r w:rsidRPr="00690F5B">
            <w:rPr>
              <w:b/>
              <w:bCs/>
              <w:noProof/>
            </w:rPr>
            <w:t>Azienda Servizi pubblici S.p.A. (ASP)</w:t>
          </w:r>
        </w:p>
      </w:tc>
    </w:tr>
    <w:tr w:rsidR="00326919" w14:paraId="00D1BC24" w14:textId="77777777" w:rsidTr="00FB060E">
      <w:trPr>
        <w:cantSplit/>
        <w:trHeight w:val="719"/>
        <w:jc w:val="center"/>
      </w:trPr>
      <w:tc>
        <w:tcPr>
          <w:tcW w:w="6938" w:type="dxa"/>
          <w:vMerge/>
          <w:tcBorders>
            <w:top w:val="single" w:sz="6" w:space="0" w:color="auto"/>
            <w:left w:val="single" w:sz="6" w:space="0" w:color="auto"/>
            <w:bottom w:val="nil"/>
            <w:right w:val="single" w:sz="6" w:space="0" w:color="auto"/>
          </w:tcBorders>
          <w:vAlign w:val="center"/>
          <w:hideMark/>
        </w:tcPr>
        <w:p w14:paraId="5E840D97" w14:textId="77777777" w:rsidR="00326919" w:rsidRDefault="00326919" w:rsidP="00326919">
          <w:pPr>
            <w:spacing w:line="256" w:lineRule="auto"/>
          </w:pPr>
        </w:p>
      </w:tc>
      <w:tc>
        <w:tcPr>
          <w:tcW w:w="4783" w:type="dxa"/>
          <w:vMerge/>
          <w:tcBorders>
            <w:top w:val="single" w:sz="4" w:space="0" w:color="auto"/>
            <w:left w:val="single" w:sz="6" w:space="0" w:color="auto"/>
            <w:bottom w:val="nil"/>
            <w:right w:val="nil"/>
          </w:tcBorders>
          <w:vAlign w:val="center"/>
          <w:hideMark/>
        </w:tcPr>
        <w:p w14:paraId="0B0A3FB0" w14:textId="77777777" w:rsidR="00326919" w:rsidRDefault="00326919" w:rsidP="00326919">
          <w:pPr>
            <w:spacing w:line="256" w:lineRule="auto"/>
          </w:pPr>
        </w:p>
      </w:tc>
      <w:tc>
        <w:tcPr>
          <w:tcW w:w="2248" w:type="dxa"/>
          <w:tcBorders>
            <w:top w:val="single" w:sz="4" w:space="0" w:color="auto"/>
            <w:left w:val="single" w:sz="6" w:space="0" w:color="auto"/>
            <w:bottom w:val="nil"/>
            <w:right w:val="single" w:sz="6" w:space="0" w:color="auto"/>
          </w:tcBorders>
          <w:vAlign w:val="center"/>
          <w:hideMark/>
        </w:tcPr>
        <w:p w14:paraId="2339F0A5" w14:textId="77777777" w:rsidR="00326919" w:rsidRDefault="00326919" w:rsidP="00326919">
          <w:pPr>
            <w:jc w:val="center"/>
            <w:rPr>
              <w:b/>
              <w:sz w:val="18"/>
              <w:szCs w:val="18"/>
            </w:rPr>
          </w:pPr>
          <w:r>
            <w:rPr>
              <w:rFonts w:cs="Arial"/>
              <w:b/>
              <w:sz w:val="18"/>
              <w:szCs w:val="18"/>
            </w:rPr>
            <w:t>Approvato in data:</w:t>
          </w:r>
          <w:r>
            <w:rPr>
              <w:b/>
              <w:caps/>
              <w:sz w:val="18"/>
              <w:szCs w:val="18"/>
            </w:rPr>
            <w:t xml:space="preserve"> </w:t>
          </w:r>
        </w:p>
      </w:tc>
    </w:tr>
    <w:tr w:rsidR="00326919" w14:paraId="28AA6554" w14:textId="77777777" w:rsidTr="00FB060E">
      <w:trPr>
        <w:cantSplit/>
        <w:trHeight w:val="65"/>
        <w:jc w:val="center"/>
      </w:trPr>
      <w:tc>
        <w:tcPr>
          <w:tcW w:w="6938" w:type="dxa"/>
          <w:gridSpan w:val="2"/>
          <w:tcBorders>
            <w:top w:val="single" w:sz="4" w:space="0" w:color="auto"/>
            <w:left w:val="single" w:sz="6" w:space="0" w:color="auto"/>
            <w:bottom w:val="single" w:sz="4" w:space="0" w:color="auto"/>
            <w:right w:val="nil"/>
          </w:tcBorders>
          <w:vAlign w:val="center"/>
        </w:tcPr>
        <w:p w14:paraId="092B6E86" w14:textId="77777777" w:rsidR="00326919" w:rsidRDefault="00326919" w:rsidP="00326919">
          <w:pPr>
            <w:rPr>
              <w:b/>
              <w:sz w:val="18"/>
            </w:rPr>
          </w:pPr>
        </w:p>
      </w:tc>
      <w:tc>
        <w:tcPr>
          <w:tcW w:w="2248" w:type="dxa"/>
          <w:tcBorders>
            <w:top w:val="single" w:sz="4" w:space="0" w:color="auto"/>
            <w:left w:val="single" w:sz="6" w:space="0" w:color="auto"/>
            <w:bottom w:val="single" w:sz="4" w:space="0" w:color="auto"/>
            <w:right w:val="single" w:sz="6" w:space="0" w:color="auto"/>
          </w:tcBorders>
          <w:vAlign w:val="center"/>
          <w:hideMark/>
        </w:tcPr>
        <w:p w14:paraId="623BBC0F" w14:textId="77777777" w:rsidR="00326919" w:rsidRDefault="00326919" w:rsidP="00326919">
          <w:pPr>
            <w:jc w:val="center"/>
            <w:rPr>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795D4B7C" w14:textId="77777777" w:rsidR="00872F49" w:rsidRDefault="00872F49">
    <w:pPr>
      <w:pStyle w:val="Intestazion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DB18" w14:textId="77777777" w:rsidR="00326919" w:rsidRDefault="003269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23F"/>
    <w:multiLevelType w:val="hybridMultilevel"/>
    <w:tmpl w:val="AA5E77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13CBC"/>
    <w:multiLevelType w:val="hybridMultilevel"/>
    <w:tmpl w:val="593493C0"/>
    <w:lvl w:ilvl="0" w:tplc="C24A4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E7204"/>
    <w:multiLevelType w:val="multilevel"/>
    <w:tmpl w:val="990E4E58"/>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 w15:restartNumberingAfterBreak="0">
    <w:nsid w:val="17832769"/>
    <w:multiLevelType w:val="multilevel"/>
    <w:tmpl w:val="DDC4423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8D680C"/>
    <w:multiLevelType w:val="hybridMultilevel"/>
    <w:tmpl w:val="81984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8B3919"/>
    <w:multiLevelType w:val="hybridMultilevel"/>
    <w:tmpl w:val="4DF8B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352FF5"/>
    <w:multiLevelType w:val="hybridMultilevel"/>
    <w:tmpl w:val="F9524D9C"/>
    <w:lvl w:ilvl="0" w:tplc="680E4EDE">
      <w:start w:val="1"/>
      <w:numFmt w:val="decimal"/>
      <w:lvlText w:val="%1."/>
      <w:lvlJc w:val="left"/>
      <w:pPr>
        <w:ind w:left="644" w:hanging="360"/>
      </w:pPr>
      <w:rPr>
        <w:rFonts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8180484"/>
    <w:multiLevelType w:val="hybridMultilevel"/>
    <w:tmpl w:val="C6949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1D4174"/>
    <w:multiLevelType w:val="multilevel"/>
    <w:tmpl w:val="6980D54A"/>
    <w:lvl w:ilvl="0">
      <w:start w:val="4"/>
      <w:numFmt w:val="bullet"/>
      <w:lvlText w:val="-"/>
      <w:lvlJc w:val="left"/>
      <w:pPr>
        <w:tabs>
          <w:tab w:val="num" w:pos="2128"/>
        </w:tabs>
        <w:ind w:left="2128" w:hanging="360"/>
      </w:pPr>
      <w:rPr>
        <w:rFonts w:ascii="Times New Roman" w:hAnsi="Times New Roman" w:cs="Times New Roman" w:hint="default"/>
      </w:rPr>
    </w:lvl>
    <w:lvl w:ilvl="1">
      <w:start w:val="1"/>
      <w:numFmt w:val="bullet"/>
      <w:lvlText w:val="o"/>
      <w:lvlJc w:val="left"/>
      <w:pPr>
        <w:tabs>
          <w:tab w:val="num" w:pos="2848"/>
        </w:tabs>
        <w:ind w:left="2848" w:hanging="360"/>
      </w:pPr>
      <w:rPr>
        <w:rFonts w:ascii="Courier New" w:hAnsi="Courier New" w:cs="Courier New" w:hint="default"/>
      </w:rPr>
    </w:lvl>
    <w:lvl w:ilvl="2">
      <w:start w:val="1"/>
      <w:numFmt w:val="bullet"/>
      <w:lvlText w:val=""/>
      <w:lvlJc w:val="left"/>
      <w:pPr>
        <w:tabs>
          <w:tab w:val="num" w:pos="3568"/>
        </w:tabs>
        <w:ind w:left="3568" w:hanging="360"/>
      </w:pPr>
      <w:rPr>
        <w:rFonts w:ascii="Wingdings" w:hAnsi="Wingdings" w:cs="Wingdings" w:hint="default"/>
      </w:rPr>
    </w:lvl>
    <w:lvl w:ilvl="3">
      <w:start w:val="1"/>
      <w:numFmt w:val="bullet"/>
      <w:lvlText w:val=""/>
      <w:lvlJc w:val="left"/>
      <w:pPr>
        <w:tabs>
          <w:tab w:val="num" w:pos="4288"/>
        </w:tabs>
        <w:ind w:left="4288" w:hanging="360"/>
      </w:pPr>
      <w:rPr>
        <w:rFonts w:ascii="Symbol" w:hAnsi="Symbol" w:cs="Symbol" w:hint="default"/>
      </w:rPr>
    </w:lvl>
    <w:lvl w:ilvl="4">
      <w:start w:val="1"/>
      <w:numFmt w:val="bullet"/>
      <w:lvlText w:val="o"/>
      <w:lvlJc w:val="left"/>
      <w:pPr>
        <w:tabs>
          <w:tab w:val="num" w:pos="5008"/>
        </w:tabs>
        <w:ind w:left="5008" w:hanging="360"/>
      </w:pPr>
      <w:rPr>
        <w:rFonts w:ascii="Courier New" w:hAnsi="Courier New" w:cs="Courier New" w:hint="default"/>
      </w:rPr>
    </w:lvl>
    <w:lvl w:ilvl="5">
      <w:start w:val="1"/>
      <w:numFmt w:val="bullet"/>
      <w:lvlText w:val=""/>
      <w:lvlJc w:val="left"/>
      <w:pPr>
        <w:tabs>
          <w:tab w:val="num" w:pos="5728"/>
        </w:tabs>
        <w:ind w:left="5728" w:hanging="360"/>
      </w:pPr>
      <w:rPr>
        <w:rFonts w:ascii="Wingdings" w:hAnsi="Wingdings" w:cs="Wingdings" w:hint="default"/>
      </w:rPr>
    </w:lvl>
    <w:lvl w:ilvl="6">
      <w:start w:val="1"/>
      <w:numFmt w:val="bullet"/>
      <w:lvlText w:val=""/>
      <w:lvlJc w:val="left"/>
      <w:pPr>
        <w:tabs>
          <w:tab w:val="num" w:pos="6448"/>
        </w:tabs>
        <w:ind w:left="6448" w:hanging="360"/>
      </w:pPr>
      <w:rPr>
        <w:rFonts w:ascii="Symbol" w:hAnsi="Symbol" w:cs="Symbol" w:hint="default"/>
      </w:rPr>
    </w:lvl>
    <w:lvl w:ilvl="7">
      <w:start w:val="1"/>
      <w:numFmt w:val="bullet"/>
      <w:lvlText w:val="o"/>
      <w:lvlJc w:val="left"/>
      <w:pPr>
        <w:tabs>
          <w:tab w:val="num" w:pos="7168"/>
        </w:tabs>
        <w:ind w:left="7168" w:hanging="360"/>
      </w:pPr>
      <w:rPr>
        <w:rFonts w:ascii="Courier New" w:hAnsi="Courier New" w:cs="Courier New" w:hint="default"/>
      </w:rPr>
    </w:lvl>
    <w:lvl w:ilvl="8">
      <w:start w:val="1"/>
      <w:numFmt w:val="bullet"/>
      <w:lvlText w:val=""/>
      <w:lvlJc w:val="left"/>
      <w:pPr>
        <w:tabs>
          <w:tab w:val="num" w:pos="7888"/>
        </w:tabs>
        <w:ind w:left="7888" w:hanging="360"/>
      </w:pPr>
      <w:rPr>
        <w:rFonts w:ascii="Wingdings" w:hAnsi="Wingdings" w:cs="Wingdings" w:hint="default"/>
      </w:rPr>
    </w:lvl>
  </w:abstractNum>
  <w:abstractNum w:abstractNumId="9" w15:restartNumberingAfterBreak="0">
    <w:nsid w:val="559D4142"/>
    <w:multiLevelType w:val="multilevel"/>
    <w:tmpl w:val="B3E039A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A65F2E"/>
    <w:multiLevelType w:val="hybridMultilevel"/>
    <w:tmpl w:val="BCB2B23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7DF2933"/>
    <w:multiLevelType w:val="multilevel"/>
    <w:tmpl w:val="B3C6208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814D52"/>
    <w:multiLevelType w:val="hybridMultilevel"/>
    <w:tmpl w:val="12F0C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6E3E54"/>
    <w:multiLevelType w:val="hybridMultilevel"/>
    <w:tmpl w:val="3FDA10A6"/>
    <w:lvl w:ilvl="0" w:tplc="F806B960">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F253C92"/>
    <w:multiLevelType w:val="hybridMultilevel"/>
    <w:tmpl w:val="92D0D6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A75A3F"/>
    <w:multiLevelType w:val="multilevel"/>
    <w:tmpl w:val="F9282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2"/>
  </w:num>
  <w:num w:numId="3">
    <w:abstractNumId w:val="15"/>
  </w:num>
  <w:num w:numId="4">
    <w:abstractNumId w:val="14"/>
  </w:num>
  <w:num w:numId="5">
    <w:abstractNumId w:val="0"/>
  </w:num>
  <w:num w:numId="6">
    <w:abstractNumId w:val="11"/>
  </w:num>
  <w:num w:numId="7">
    <w:abstractNumId w:val="3"/>
  </w:num>
  <w:num w:numId="8">
    <w:abstractNumId w:val="9"/>
  </w:num>
  <w:num w:numId="9">
    <w:abstractNumId w:val="10"/>
  </w:num>
  <w:num w:numId="10">
    <w:abstractNumId w:val="4"/>
  </w:num>
  <w:num w:numId="11">
    <w:abstractNumId w:val="5"/>
  </w:num>
  <w:num w:numId="12">
    <w:abstractNumId w:val="12"/>
  </w:num>
  <w:num w:numId="13">
    <w:abstractNumId w:val="7"/>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8"/>
    <w:rsid w:val="00057C62"/>
    <w:rsid w:val="000718BD"/>
    <w:rsid w:val="000776B3"/>
    <w:rsid w:val="000C658E"/>
    <w:rsid w:val="000D7972"/>
    <w:rsid w:val="000E788A"/>
    <w:rsid w:val="001033E8"/>
    <w:rsid w:val="00106DC6"/>
    <w:rsid w:val="001136C1"/>
    <w:rsid w:val="00142AC3"/>
    <w:rsid w:val="00151A12"/>
    <w:rsid w:val="00174AF1"/>
    <w:rsid w:val="00175AB8"/>
    <w:rsid w:val="00190605"/>
    <w:rsid w:val="001A3766"/>
    <w:rsid w:val="001F015E"/>
    <w:rsid w:val="002335E0"/>
    <w:rsid w:val="00267A8F"/>
    <w:rsid w:val="00283A32"/>
    <w:rsid w:val="002F0843"/>
    <w:rsid w:val="002F391E"/>
    <w:rsid w:val="003026D1"/>
    <w:rsid w:val="00326919"/>
    <w:rsid w:val="00346FB4"/>
    <w:rsid w:val="00370F18"/>
    <w:rsid w:val="00371838"/>
    <w:rsid w:val="00404B3D"/>
    <w:rsid w:val="0041354D"/>
    <w:rsid w:val="004218E0"/>
    <w:rsid w:val="004235D8"/>
    <w:rsid w:val="00454352"/>
    <w:rsid w:val="00455535"/>
    <w:rsid w:val="004A126B"/>
    <w:rsid w:val="004B1A2A"/>
    <w:rsid w:val="004B50B3"/>
    <w:rsid w:val="004E7FF5"/>
    <w:rsid w:val="005044C2"/>
    <w:rsid w:val="005065CF"/>
    <w:rsid w:val="00512412"/>
    <w:rsid w:val="00563D54"/>
    <w:rsid w:val="005D272B"/>
    <w:rsid w:val="005E7CEB"/>
    <w:rsid w:val="00625FB1"/>
    <w:rsid w:val="006279EF"/>
    <w:rsid w:val="00640458"/>
    <w:rsid w:val="006837F9"/>
    <w:rsid w:val="00684F5D"/>
    <w:rsid w:val="006929AE"/>
    <w:rsid w:val="006970A6"/>
    <w:rsid w:val="006B1007"/>
    <w:rsid w:val="006D52CD"/>
    <w:rsid w:val="006E4EE2"/>
    <w:rsid w:val="00715325"/>
    <w:rsid w:val="00724734"/>
    <w:rsid w:val="00765B99"/>
    <w:rsid w:val="00784D52"/>
    <w:rsid w:val="00785EE9"/>
    <w:rsid w:val="007A02B1"/>
    <w:rsid w:val="007D2638"/>
    <w:rsid w:val="008177C8"/>
    <w:rsid w:val="008263A9"/>
    <w:rsid w:val="00832D90"/>
    <w:rsid w:val="00835399"/>
    <w:rsid w:val="00851EE1"/>
    <w:rsid w:val="008544E7"/>
    <w:rsid w:val="00865978"/>
    <w:rsid w:val="00870530"/>
    <w:rsid w:val="00872F49"/>
    <w:rsid w:val="008A2EFC"/>
    <w:rsid w:val="008D0D1C"/>
    <w:rsid w:val="008E25CA"/>
    <w:rsid w:val="008F6040"/>
    <w:rsid w:val="009551B7"/>
    <w:rsid w:val="0097750E"/>
    <w:rsid w:val="00980E91"/>
    <w:rsid w:val="00981E38"/>
    <w:rsid w:val="00985B7A"/>
    <w:rsid w:val="00985F05"/>
    <w:rsid w:val="009F5416"/>
    <w:rsid w:val="009F5BA7"/>
    <w:rsid w:val="009F7501"/>
    <w:rsid w:val="00A35DE0"/>
    <w:rsid w:val="00A441F2"/>
    <w:rsid w:val="00A7250B"/>
    <w:rsid w:val="00A7709E"/>
    <w:rsid w:val="00A866C5"/>
    <w:rsid w:val="00A913BF"/>
    <w:rsid w:val="00AA1B5B"/>
    <w:rsid w:val="00AA3BB3"/>
    <w:rsid w:val="00AE0774"/>
    <w:rsid w:val="00AE3C11"/>
    <w:rsid w:val="00AF0AC3"/>
    <w:rsid w:val="00B0224B"/>
    <w:rsid w:val="00B36CA5"/>
    <w:rsid w:val="00B75D83"/>
    <w:rsid w:val="00B90379"/>
    <w:rsid w:val="00BB11D6"/>
    <w:rsid w:val="00BB43A5"/>
    <w:rsid w:val="00BB7397"/>
    <w:rsid w:val="00BD3FC8"/>
    <w:rsid w:val="00C16702"/>
    <w:rsid w:val="00C261B2"/>
    <w:rsid w:val="00C3031C"/>
    <w:rsid w:val="00C440DA"/>
    <w:rsid w:val="00C57B3E"/>
    <w:rsid w:val="00C57EFE"/>
    <w:rsid w:val="00C651C6"/>
    <w:rsid w:val="00C67B26"/>
    <w:rsid w:val="00C81F07"/>
    <w:rsid w:val="00CA6E69"/>
    <w:rsid w:val="00CC3008"/>
    <w:rsid w:val="00CD3B52"/>
    <w:rsid w:val="00CD79A6"/>
    <w:rsid w:val="00CF4378"/>
    <w:rsid w:val="00D01FCF"/>
    <w:rsid w:val="00D33D21"/>
    <w:rsid w:val="00D57A5E"/>
    <w:rsid w:val="00D75232"/>
    <w:rsid w:val="00D82583"/>
    <w:rsid w:val="00DA4A68"/>
    <w:rsid w:val="00DE45A2"/>
    <w:rsid w:val="00DF71E1"/>
    <w:rsid w:val="00E00C8E"/>
    <w:rsid w:val="00E50D5C"/>
    <w:rsid w:val="00E83212"/>
    <w:rsid w:val="00E97E4D"/>
    <w:rsid w:val="00EA2FF0"/>
    <w:rsid w:val="00EA365B"/>
    <w:rsid w:val="00F203DF"/>
    <w:rsid w:val="00F24D14"/>
    <w:rsid w:val="00FB4E9F"/>
    <w:rsid w:val="00FD4CB7"/>
    <w:rsid w:val="00FD7D9A"/>
    <w:rsid w:val="00FE0A01"/>
    <w:rsid w:val="00FE15E9"/>
    <w:rsid w:val="00FF220A"/>
    <w:rsid w:val="00FF2C0E"/>
    <w:rsid w:val="00FF4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B3B5E"/>
  <w15:docId w15:val="{E63D31D5-F034-45F5-A47F-046FCC39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910"/>
    <w:rPr>
      <w:sz w:val="24"/>
      <w:szCs w:val="24"/>
    </w:rPr>
  </w:style>
  <w:style w:type="paragraph" w:styleId="Titolo1">
    <w:name w:val="heading 1"/>
    <w:basedOn w:val="Normale"/>
    <w:qFormat/>
    <w:rsid w:val="00586910"/>
    <w:pPr>
      <w:keepNext/>
      <w:spacing w:before="240" w:after="60" w:line="360" w:lineRule="auto"/>
      <w:outlineLvl w:val="0"/>
    </w:pPr>
    <w:rPr>
      <w:rFonts w:cs="Arial"/>
      <w:bCs/>
      <w:smallCaps/>
      <w:color w:val="3366FF"/>
      <w:sz w:val="28"/>
      <w:szCs w:val="28"/>
    </w:rPr>
  </w:style>
  <w:style w:type="paragraph" w:styleId="Titolo2">
    <w:name w:val="heading 2"/>
    <w:basedOn w:val="Normale"/>
    <w:next w:val="Normale"/>
    <w:link w:val="Titolo2Carattere"/>
    <w:uiPriority w:val="9"/>
    <w:semiHidden/>
    <w:unhideWhenUsed/>
    <w:qFormat/>
    <w:rsid w:val="00B02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B0224B"/>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A40A06"/>
  </w:style>
  <w:style w:type="character" w:customStyle="1" w:styleId="verde">
    <w:name w:val="verde"/>
    <w:qFormat/>
    <w:rsid w:val="00E44E58"/>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color w:val="00000A"/>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Book Antiqua" w:eastAsia="Times New Roman" w:hAnsi="Book Antiqua"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color w:val="00000A"/>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color w:val="00000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FreeSans"/>
    </w:rPr>
  </w:style>
  <w:style w:type="paragraph" w:styleId="Intestazione">
    <w:name w:val="header"/>
    <w:basedOn w:val="Normale"/>
    <w:rsid w:val="00586910"/>
    <w:pPr>
      <w:tabs>
        <w:tab w:val="center" w:pos="4819"/>
        <w:tab w:val="right" w:pos="9638"/>
      </w:tabs>
    </w:pPr>
  </w:style>
  <w:style w:type="paragraph" w:styleId="NormaleWeb">
    <w:name w:val="Normal (Web)"/>
    <w:basedOn w:val="Normale"/>
    <w:uiPriority w:val="99"/>
    <w:qFormat/>
    <w:rsid w:val="00C14DBA"/>
    <w:pPr>
      <w:spacing w:beforeAutospacing="1" w:afterAutospacing="1" w:line="336" w:lineRule="atLeast"/>
    </w:pPr>
  </w:style>
  <w:style w:type="paragraph" w:styleId="Pidipagina">
    <w:name w:val="footer"/>
    <w:basedOn w:val="Normale"/>
    <w:rsid w:val="00A40A06"/>
    <w:pPr>
      <w:tabs>
        <w:tab w:val="center" w:pos="4819"/>
        <w:tab w:val="right" w:pos="9638"/>
      </w:tabs>
    </w:pPr>
  </w:style>
  <w:style w:type="paragraph" w:styleId="Testofumetto">
    <w:name w:val="Balloon Text"/>
    <w:basedOn w:val="Normale"/>
    <w:semiHidden/>
    <w:qFormat/>
    <w:rsid w:val="008D19E0"/>
    <w:rPr>
      <w:rFonts w:ascii="Tahoma" w:hAnsi="Tahoma" w:cs="Tahoma"/>
      <w:sz w:val="16"/>
      <w:szCs w:val="16"/>
    </w:rPr>
  </w:style>
  <w:style w:type="paragraph" w:styleId="Mappadocumento">
    <w:name w:val="Document Map"/>
    <w:basedOn w:val="Normale"/>
    <w:semiHidden/>
    <w:qFormat/>
    <w:rsid w:val="005F42EB"/>
    <w:pPr>
      <w:shd w:val="clear" w:color="auto" w:fill="000080"/>
    </w:pPr>
    <w:rPr>
      <w:rFonts w:ascii="Tahoma" w:hAnsi="Tahoma" w:cs="Tahoma"/>
      <w:sz w:val="20"/>
      <w:szCs w:val="20"/>
    </w:rPr>
  </w:style>
  <w:style w:type="paragraph" w:styleId="Paragrafoelenco">
    <w:name w:val="List Paragraph"/>
    <w:basedOn w:val="Normale"/>
    <w:link w:val="ParagrafoelencoCarattere"/>
    <w:uiPriority w:val="99"/>
    <w:qFormat/>
    <w:rsid w:val="00872F49"/>
    <w:pPr>
      <w:ind w:left="720"/>
      <w:contextualSpacing/>
    </w:pPr>
    <w:rPr>
      <w:rFonts w:ascii="Helvetica Neue" w:hAnsi="Helvetica Neue"/>
      <w:sz w:val="22"/>
      <w:szCs w:val="20"/>
    </w:rPr>
  </w:style>
  <w:style w:type="character" w:customStyle="1" w:styleId="ParagrafoelencoCarattere">
    <w:name w:val="Paragrafo elenco Carattere"/>
    <w:link w:val="Paragrafoelenco"/>
    <w:uiPriority w:val="99"/>
    <w:rsid w:val="00872F49"/>
    <w:rPr>
      <w:rFonts w:ascii="Helvetica Neue" w:hAnsi="Helvetica Neue"/>
      <w:sz w:val="22"/>
    </w:rPr>
  </w:style>
  <w:style w:type="character" w:customStyle="1" w:styleId="Titolo2Carattere">
    <w:name w:val="Titolo 2 Carattere"/>
    <w:basedOn w:val="Carpredefinitoparagrafo"/>
    <w:link w:val="Titolo2"/>
    <w:uiPriority w:val="9"/>
    <w:semiHidden/>
    <w:rsid w:val="00B0224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B0224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A3B3-1896-4E02-97C8-15E7D25C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1518</Words>
  <Characters>8654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Politica Qualità Acqualatina SpA</vt:lpstr>
    </vt:vector>
  </TitlesOfParts>
  <Company>Acqualatina S.p.A.</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Qualità Acqualatina SpA</dc:title>
  <dc:subject/>
  <dc:creator>Dott. Giuseppe Russo</dc:creator>
  <dc:description/>
  <cp:lastModifiedBy>User</cp:lastModifiedBy>
  <cp:revision>59</cp:revision>
  <cp:lastPrinted>2017-05-25T14:07:00Z</cp:lastPrinted>
  <dcterms:created xsi:type="dcterms:W3CDTF">2018-05-24T08:01:00Z</dcterms:created>
  <dcterms:modified xsi:type="dcterms:W3CDTF">2020-12-31T15:26:00Z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Acqualatina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